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361CA" w14:textId="79EE3406" w:rsidR="002C49EB" w:rsidRDefault="001765D7" w:rsidP="001765D7">
      <w:pPr>
        <w:jc w:val="center"/>
        <w:rPr>
          <w:rFonts w:ascii="Times New Roman" w:hAnsi="Times New Roman" w:cs="Times New Roman"/>
          <w:sz w:val="24"/>
          <w:szCs w:val="24"/>
        </w:rPr>
      </w:pPr>
      <w:r>
        <w:rPr>
          <w:rFonts w:ascii="Times New Roman" w:hAnsi="Times New Roman" w:cs="Times New Roman"/>
          <w:sz w:val="24"/>
          <w:szCs w:val="24"/>
        </w:rPr>
        <w:t>IN THE UNITED STATE DISTRICT COURT</w:t>
      </w:r>
    </w:p>
    <w:p w14:paraId="5FF3EE99" w14:textId="0752A189" w:rsidR="001765D7" w:rsidRDefault="001765D7" w:rsidP="001765D7">
      <w:pPr>
        <w:jc w:val="center"/>
        <w:rPr>
          <w:rFonts w:ascii="Times New Roman" w:hAnsi="Times New Roman" w:cs="Times New Roman"/>
          <w:sz w:val="24"/>
          <w:szCs w:val="24"/>
        </w:rPr>
      </w:pPr>
      <w:r>
        <w:rPr>
          <w:rFonts w:ascii="Times New Roman" w:hAnsi="Times New Roman" w:cs="Times New Roman"/>
          <w:sz w:val="24"/>
          <w:szCs w:val="24"/>
        </w:rPr>
        <w:t>FOR THE WESTERN DISTRICT OF TEXAS</w:t>
      </w:r>
    </w:p>
    <w:p w14:paraId="7FADA65F" w14:textId="35082305" w:rsidR="001765D7" w:rsidRDefault="001765D7" w:rsidP="001765D7">
      <w:pPr>
        <w:jc w:val="center"/>
        <w:rPr>
          <w:rFonts w:ascii="Times New Roman" w:hAnsi="Times New Roman" w:cs="Times New Roman"/>
          <w:sz w:val="24"/>
          <w:szCs w:val="24"/>
        </w:rPr>
      </w:pPr>
      <w:r>
        <w:rPr>
          <w:rFonts w:ascii="Times New Roman" w:hAnsi="Times New Roman" w:cs="Times New Roman"/>
          <w:sz w:val="24"/>
          <w:szCs w:val="24"/>
        </w:rPr>
        <w:t>SAN ANTONIO DIVISION</w:t>
      </w:r>
    </w:p>
    <w:p w14:paraId="0F661E16" w14:textId="77777777" w:rsidR="001765D7" w:rsidRDefault="001765D7" w:rsidP="001765D7">
      <w:pPr>
        <w:jc w:val="center"/>
        <w:rPr>
          <w:rFonts w:ascii="Times New Roman" w:hAnsi="Times New Roman" w:cs="Times New Roman"/>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621"/>
        <w:gridCol w:w="4318"/>
      </w:tblGrid>
      <w:tr w:rsidR="001765D7" w:rsidRPr="001765D7" w14:paraId="2DFEBCDA" w14:textId="77777777" w:rsidTr="004B36A3">
        <w:tc>
          <w:tcPr>
            <w:tcW w:w="4518" w:type="dxa"/>
          </w:tcPr>
          <w:p w14:paraId="2247A513" w14:textId="77777777" w:rsidR="001765D7" w:rsidRPr="001765D7" w:rsidRDefault="001765D7" w:rsidP="004B36A3">
            <w:pPr>
              <w:rPr>
                <w:rFonts w:ascii="Times New Roman" w:hAnsi="Times New Roman" w:cs="Times New Roman"/>
                <w:bCs/>
                <w:sz w:val="24"/>
                <w:szCs w:val="24"/>
              </w:rPr>
            </w:pPr>
          </w:p>
          <w:p w14:paraId="31948B2B" w14:textId="77777777" w:rsidR="001765D7" w:rsidRPr="001765D7" w:rsidRDefault="001765D7" w:rsidP="004B36A3">
            <w:pPr>
              <w:rPr>
                <w:rFonts w:ascii="Times New Roman" w:hAnsi="Times New Roman" w:cs="Times New Roman"/>
                <w:bCs/>
                <w:i/>
                <w:sz w:val="24"/>
                <w:szCs w:val="24"/>
              </w:rPr>
            </w:pPr>
            <w:r w:rsidRPr="001765D7">
              <w:rPr>
                <w:rFonts w:ascii="Times New Roman" w:hAnsi="Times New Roman" w:cs="Times New Roman"/>
                <w:bCs/>
                <w:i/>
                <w:sz w:val="24"/>
                <w:szCs w:val="24"/>
              </w:rPr>
              <w:t>Plaintiff</w:t>
            </w:r>
          </w:p>
          <w:p w14:paraId="2AABAC1E" w14:textId="77777777" w:rsidR="001765D7" w:rsidRPr="001765D7" w:rsidRDefault="001765D7" w:rsidP="004B36A3">
            <w:pPr>
              <w:rPr>
                <w:rFonts w:ascii="Times New Roman" w:hAnsi="Times New Roman" w:cs="Times New Roman"/>
                <w:bCs/>
                <w:sz w:val="24"/>
                <w:szCs w:val="24"/>
              </w:rPr>
            </w:pPr>
          </w:p>
          <w:p w14:paraId="16F6B6EB"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v.</w:t>
            </w:r>
          </w:p>
          <w:p w14:paraId="11D41BCF" w14:textId="77777777" w:rsidR="001765D7" w:rsidRPr="001765D7" w:rsidRDefault="001765D7" w:rsidP="004B36A3">
            <w:pPr>
              <w:rPr>
                <w:rFonts w:ascii="Times New Roman" w:hAnsi="Times New Roman" w:cs="Times New Roman"/>
                <w:bCs/>
                <w:sz w:val="24"/>
                <w:szCs w:val="24"/>
              </w:rPr>
            </w:pPr>
          </w:p>
          <w:p w14:paraId="113B7DCA" w14:textId="77777777" w:rsidR="001765D7" w:rsidRPr="001765D7" w:rsidRDefault="001765D7" w:rsidP="004B36A3">
            <w:pPr>
              <w:rPr>
                <w:rFonts w:ascii="Times New Roman" w:hAnsi="Times New Roman" w:cs="Times New Roman"/>
                <w:bCs/>
                <w:sz w:val="24"/>
                <w:szCs w:val="24"/>
              </w:rPr>
            </w:pPr>
          </w:p>
          <w:p w14:paraId="32555A97" w14:textId="77777777" w:rsidR="001765D7" w:rsidRPr="001765D7" w:rsidRDefault="001765D7" w:rsidP="004B36A3">
            <w:pPr>
              <w:rPr>
                <w:rFonts w:ascii="Times New Roman" w:hAnsi="Times New Roman" w:cs="Times New Roman"/>
                <w:bCs/>
                <w:i/>
                <w:sz w:val="24"/>
                <w:szCs w:val="24"/>
              </w:rPr>
            </w:pPr>
            <w:r w:rsidRPr="001765D7">
              <w:rPr>
                <w:rFonts w:ascii="Times New Roman" w:hAnsi="Times New Roman" w:cs="Times New Roman"/>
                <w:bCs/>
                <w:i/>
                <w:sz w:val="24"/>
                <w:szCs w:val="24"/>
              </w:rPr>
              <w:t>Defendant</w:t>
            </w:r>
          </w:p>
          <w:p w14:paraId="0F813324" w14:textId="77777777" w:rsidR="001765D7" w:rsidRPr="001765D7" w:rsidRDefault="001765D7" w:rsidP="004B36A3">
            <w:pPr>
              <w:rPr>
                <w:rFonts w:ascii="Times New Roman" w:hAnsi="Times New Roman" w:cs="Times New Roman"/>
                <w:bCs/>
                <w:sz w:val="24"/>
                <w:szCs w:val="24"/>
              </w:rPr>
            </w:pPr>
          </w:p>
        </w:tc>
        <w:tc>
          <w:tcPr>
            <w:tcW w:w="630" w:type="dxa"/>
          </w:tcPr>
          <w:p w14:paraId="6A93AF36"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3EB5A13B"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58F71C83"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1B0DC3C1"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7A1B87BF"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0D3392EA"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p w14:paraId="0E97DD79"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w:t>
            </w:r>
          </w:p>
        </w:tc>
        <w:tc>
          <w:tcPr>
            <w:tcW w:w="4428" w:type="dxa"/>
          </w:tcPr>
          <w:p w14:paraId="731822DA" w14:textId="77777777" w:rsidR="001765D7" w:rsidRPr="001765D7" w:rsidRDefault="001765D7" w:rsidP="004B36A3">
            <w:pPr>
              <w:rPr>
                <w:rFonts w:ascii="Times New Roman" w:hAnsi="Times New Roman" w:cs="Times New Roman"/>
                <w:bCs/>
                <w:sz w:val="24"/>
                <w:szCs w:val="24"/>
              </w:rPr>
            </w:pPr>
          </w:p>
          <w:p w14:paraId="7FFDF25D" w14:textId="77777777" w:rsidR="001765D7" w:rsidRPr="001765D7" w:rsidRDefault="001765D7" w:rsidP="004B36A3">
            <w:pPr>
              <w:rPr>
                <w:rFonts w:ascii="Times New Roman" w:hAnsi="Times New Roman" w:cs="Times New Roman"/>
                <w:bCs/>
                <w:sz w:val="24"/>
                <w:szCs w:val="24"/>
              </w:rPr>
            </w:pPr>
          </w:p>
          <w:p w14:paraId="4C47CCA6" w14:textId="77777777" w:rsidR="001765D7" w:rsidRPr="001765D7" w:rsidRDefault="001765D7" w:rsidP="004B36A3">
            <w:pPr>
              <w:rPr>
                <w:rFonts w:ascii="Times New Roman" w:hAnsi="Times New Roman" w:cs="Times New Roman"/>
                <w:bCs/>
                <w:sz w:val="24"/>
                <w:szCs w:val="24"/>
              </w:rPr>
            </w:pPr>
          </w:p>
          <w:p w14:paraId="7982E7AC" w14:textId="77777777" w:rsidR="001765D7" w:rsidRPr="001765D7" w:rsidRDefault="001765D7" w:rsidP="004B36A3">
            <w:pPr>
              <w:rPr>
                <w:rFonts w:ascii="Times New Roman" w:hAnsi="Times New Roman" w:cs="Times New Roman"/>
                <w:bCs/>
                <w:sz w:val="24"/>
                <w:szCs w:val="24"/>
              </w:rPr>
            </w:pPr>
            <w:r w:rsidRPr="001765D7">
              <w:rPr>
                <w:rFonts w:ascii="Times New Roman" w:hAnsi="Times New Roman" w:cs="Times New Roman"/>
                <w:bCs/>
                <w:sz w:val="24"/>
                <w:szCs w:val="24"/>
              </w:rPr>
              <w:t xml:space="preserve">   Case No.  </w:t>
            </w:r>
          </w:p>
        </w:tc>
      </w:tr>
    </w:tbl>
    <w:p w14:paraId="2B922FFC" w14:textId="77777777" w:rsidR="001765D7" w:rsidRPr="001765D7" w:rsidRDefault="001765D7" w:rsidP="001765D7">
      <w:pPr>
        <w:jc w:val="center"/>
        <w:rPr>
          <w:rFonts w:ascii="Times New Roman" w:hAnsi="Times New Roman" w:cs="Times New Roman"/>
          <w:sz w:val="24"/>
          <w:szCs w:val="24"/>
        </w:rPr>
      </w:pPr>
    </w:p>
    <w:p w14:paraId="72820089" w14:textId="77777777" w:rsidR="001765D7" w:rsidRDefault="001765D7" w:rsidP="001765D7">
      <w:pPr>
        <w:jc w:val="center"/>
        <w:rPr>
          <w:rFonts w:ascii="Times New Roman" w:hAnsi="Times New Roman" w:cs="Times New Roman"/>
          <w:b/>
          <w:bCs/>
          <w:sz w:val="24"/>
          <w:szCs w:val="24"/>
          <w:u w:val="single"/>
        </w:rPr>
      </w:pPr>
      <w:r w:rsidRPr="001765D7">
        <w:rPr>
          <w:rFonts w:ascii="Times New Roman" w:hAnsi="Times New Roman" w:cs="Times New Roman"/>
          <w:b/>
          <w:bCs/>
          <w:sz w:val="24"/>
          <w:szCs w:val="24"/>
          <w:u w:val="single"/>
        </w:rPr>
        <w:t xml:space="preserve">SCHEDULING RECOMMENDATIONS </w:t>
      </w:r>
    </w:p>
    <w:p w14:paraId="213982E9" w14:textId="77777777" w:rsidR="001765D7" w:rsidRPr="001765D7" w:rsidRDefault="001765D7" w:rsidP="001765D7">
      <w:pPr>
        <w:jc w:val="center"/>
        <w:rPr>
          <w:rFonts w:ascii="Times New Roman" w:hAnsi="Times New Roman" w:cs="Times New Roman"/>
          <w:b/>
          <w:bCs/>
          <w:sz w:val="24"/>
          <w:szCs w:val="24"/>
          <w:u w:val="single"/>
        </w:rPr>
      </w:pPr>
    </w:p>
    <w:p w14:paraId="3E06CD8C" w14:textId="77777777" w:rsidR="001765D7" w:rsidRPr="001765D7" w:rsidRDefault="001765D7" w:rsidP="001765D7">
      <w:pPr>
        <w:spacing w:line="480" w:lineRule="auto"/>
        <w:ind w:firstLine="720"/>
        <w:rPr>
          <w:rFonts w:ascii="Times New Roman" w:hAnsi="Times New Roman" w:cs="Times New Roman"/>
          <w:sz w:val="28"/>
          <w:szCs w:val="28"/>
        </w:rPr>
      </w:pPr>
      <w:r w:rsidRPr="001765D7">
        <w:rPr>
          <w:rFonts w:ascii="Times New Roman" w:hAnsi="Times New Roman" w:cs="Times New Roman"/>
          <w:sz w:val="28"/>
          <w:szCs w:val="28"/>
        </w:rPr>
        <w:t xml:space="preserve">The parties recommend that the following deadlines be entered in the scheduling order to control the course of this case: </w:t>
      </w:r>
    </w:p>
    <w:p w14:paraId="105E895E" w14:textId="7E303306" w:rsidR="001765D7" w:rsidRP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A report on alternative dispute resolution in compliance with Local Rule</w:t>
      </w:r>
      <w:r>
        <w:rPr>
          <w:rFonts w:ascii="Times New Roman" w:hAnsi="Times New Roman" w:cs="Times New Roman"/>
          <w:sz w:val="28"/>
          <w:szCs w:val="28"/>
        </w:rPr>
        <w:t xml:space="preserve"> </w:t>
      </w:r>
      <w:r w:rsidRPr="001765D7">
        <w:rPr>
          <w:rFonts w:ascii="Times New Roman" w:hAnsi="Times New Roman" w:cs="Times New Roman"/>
          <w:sz w:val="28"/>
          <w:szCs w:val="28"/>
        </w:rPr>
        <w:t>CV-88 shall be filed by ________________.</w:t>
      </w:r>
    </w:p>
    <w:p w14:paraId="01AA20E9" w14:textId="433C8178"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 xml:space="preserve">The parties asserting claims for relief shall submit a written offer of settlement to opposing parties by ________________, and each opposing party shall respond, in writing, by </w:t>
      </w:r>
      <w:r>
        <w:rPr>
          <w:rFonts w:ascii="Times New Roman" w:hAnsi="Times New Roman" w:cs="Times New Roman"/>
          <w:sz w:val="28"/>
          <w:szCs w:val="28"/>
        </w:rPr>
        <w:t>________________.</w:t>
      </w:r>
    </w:p>
    <w:p w14:paraId="18B4D14F" w14:textId="6E96E11C"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The parties shall file all motions to amend or supplement pleadings or to join additional parties by ________________.</w:t>
      </w:r>
    </w:p>
    <w:p w14:paraId="136DBBA4" w14:textId="4FB60862"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 xml:space="preserve">All parties asserting claims for relief shall file their designation of potential witnesses, testifying experts, and proposed exhibits, and shall serve </w:t>
      </w:r>
      <w:r w:rsidRPr="001765D7">
        <w:rPr>
          <w:rFonts w:ascii="Times New Roman" w:hAnsi="Times New Roman" w:cs="Times New Roman"/>
          <w:sz w:val="28"/>
          <w:szCs w:val="28"/>
        </w:rPr>
        <w:lastRenderedPageBreak/>
        <w:t>on all parties, but not file the materials required by FED. R. CIV. P. 26(a)(2)(B) by ______________. Parties resisting claims for relief shall file their designation of potential witnesses, testifying experts, and proposed exhibits, and shall serve on all parties, but not file the materials required by FED. R. CIV. P. 26(a)(2)(B) by ______________. All designations of rebuttal experts shall be designated within 14 days of receipt of the report of the opposing expert.</w:t>
      </w:r>
    </w:p>
    <w:p w14:paraId="295B3FB0" w14:textId="4C1B63FF"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An objection to the reliability of an expert's proposed testimony under Federal Rule of Evidence 702 shall be made by motion, specifically stating the basis for the objection and identifying the objectionable testimony, within _____________ days of receipt of the written report of the expert's proposed testimony, or within __________ days of the expert's deposition, if a deposition is taken, whichever is later.</w:t>
      </w:r>
    </w:p>
    <w:p w14:paraId="0A4DD8B4" w14:textId="1E57B692"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The parties shall complete all discovery on or before ________________. Counsel may by agreement continue discovery beyond the deadline, but there will be no intervention by the Court except in extraordinary circumstances, and no trial setting will be vacated because of information obtained in post-deadline discovery</w:t>
      </w:r>
      <w:r w:rsidRPr="001765D7">
        <w:rPr>
          <w:rFonts w:ascii="Times New Roman" w:hAnsi="Times New Roman" w:cs="Times New Roman"/>
          <w:sz w:val="28"/>
          <w:szCs w:val="28"/>
        </w:rPr>
        <w:t>.</w:t>
      </w:r>
    </w:p>
    <w:p w14:paraId="2B43D635" w14:textId="4FCEA3B6" w:rsidR="001765D7" w:rsidRP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 xml:space="preserve">All dispositive motions shall be filed no later than ________________. Dispositive motions as defined in Local Rule CV-7(c) </w:t>
      </w:r>
      <w:r w:rsidRPr="001765D7">
        <w:rPr>
          <w:rFonts w:ascii="Times New Roman" w:hAnsi="Times New Roman" w:cs="Times New Roman"/>
          <w:sz w:val="28"/>
          <w:szCs w:val="28"/>
        </w:rPr>
        <w:lastRenderedPageBreak/>
        <w:t xml:space="preserve">and responses to dispositive motions shall be limited to twenty (20) pages in length. Replies, if any, shall be limited to ten (10) pages in length in accordance with Local Rule CV-7(e). </w:t>
      </w:r>
      <w:r w:rsidRPr="001765D7">
        <w:rPr>
          <w:rFonts w:ascii="Times New Roman" w:hAnsi="Times New Roman" w:cs="Times New Roman"/>
          <w:b/>
          <w:bCs/>
          <w:sz w:val="28"/>
          <w:szCs w:val="28"/>
        </w:rPr>
        <w:t xml:space="preserve">If the parties elect not to file dispositive motions, they must contact the courtroom deputy on or before this deadline </w:t>
      </w:r>
      <w:proofErr w:type="gramStart"/>
      <w:r w:rsidRPr="001765D7">
        <w:rPr>
          <w:rFonts w:ascii="Times New Roman" w:hAnsi="Times New Roman" w:cs="Times New Roman"/>
          <w:b/>
          <w:bCs/>
          <w:sz w:val="28"/>
          <w:szCs w:val="28"/>
        </w:rPr>
        <w:t>in order to</w:t>
      </w:r>
      <w:proofErr w:type="gramEnd"/>
      <w:r w:rsidRPr="001765D7">
        <w:rPr>
          <w:rFonts w:ascii="Times New Roman" w:hAnsi="Times New Roman" w:cs="Times New Roman"/>
          <w:b/>
          <w:bCs/>
          <w:sz w:val="28"/>
          <w:szCs w:val="28"/>
        </w:rPr>
        <w:t xml:space="preserve"> set a trial date.</w:t>
      </w:r>
    </w:p>
    <w:p w14:paraId="506522AC" w14:textId="3DD39D5B"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 xml:space="preserve">The hearing on dispositive motions will be set by the Court after all responses and replies have </w:t>
      </w:r>
      <w:proofErr w:type="gramStart"/>
      <w:r w:rsidRPr="001765D7">
        <w:rPr>
          <w:rFonts w:ascii="Times New Roman" w:hAnsi="Times New Roman" w:cs="Times New Roman"/>
          <w:sz w:val="28"/>
          <w:szCs w:val="28"/>
        </w:rPr>
        <w:t>be</w:t>
      </w:r>
      <w:proofErr w:type="gramEnd"/>
      <w:r w:rsidRPr="001765D7">
        <w:rPr>
          <w:rFonts w:ascii="Times New Roman" w:hAnsi="Times New Roman" w:cs="Times New Roman"/>
          <w:sz w:val="28"/>
          <w:szCs w:val="28"/>
        </w:rPr>
        <w:t xml:space="preserve"> filed.</w:t>
      </w:r>
    </w:p>
    <w:p w14:paraId="63C7663E" w14:textId="0A03B6F7"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rsidRPr="001765D7">
        <w:rPr>
          <w:rFonts w:ascii="Times New Roman" w:hAnsi="Times New Roman" w:cs="Times New Roman"/>
          <w:sz w:val="28"/>
          <w:szCs w:val="28"/>
        </w:rPr>
        <w:t xml:space="preserve">The trial date will be determined </w:t>
      </w:r>
      <w:proofErr w:type="gramStart"/>
      <w:r w:rsidRPr="001765D7">
        <w:rPr>
          <w:rFonts w:ascii="Times New Roman" w:hAnsi="Times New Roman" w:cs="Times New Roman"/>
          <w:sz w:val="28"/>
          <w:szCs w:val="28"/>
        </w:rPr>
        <w:t>at a later date</w:t>
      </w:r>
      <w:proofErr w:type="gramEnd"/>
      <w:r w:rsidRPr="001765D7">
        <w:rPr>
          <w:rFonts w:ascii="Times New Roman" w:hAnsi="Times New Roman" w:cs="Times New Roman"/>
          <w:sz w:val="28"/>
          <w:szCs w:val="28"/>
        </w:rPr>
        <w:t xml:space="preserve"> by the Court. The parties shall consult Local Rule CV-16(e)-(g) regarding matters to be filed in advance of trial. At the time the trial date is set, the Court will also set the deadline for the filing of matters in advance of trial.</w:t>
      </w:r>
    </w:p>
    <w:p w14:paraId="0023D4A8" w14:textId="5F71B411" w:rsidR="001765D7" w:rsidRDefault="001765D7" w:rsidP="001765D7">
      <w:pPr>
        <w:pStyle w:val="ListParagraph"/>
        <w:numPr>
          <w:ilvl w:val="0"/>
          <w:numId w:val="1"/>
        </w:numPr>
        <w:spacing w:line="480" w:lineRule="auto"/>
        <w:ind w:left="720" w:firstLine="360"/>
        <w:rPr>
          <w:rFonts w:ascii="Times New Roman" w:hAnsi="Times New Roman" w:cs="Times New Roman"/>
          <w:sz w:val="28"/>
          <w:szCs w:val="28"/>
        </w:rPr>
      </w:pPr>
      <w:r>
        <w:t xml:space="preserve">  </w:t>
      </w:r>
      <w:proofErr w:type="gramStart"/>
      <w:r w:rsidRPr="001765D7">
        <w:rPr>
          <w:rFonts w:ascii="Times New Roman" w:hAnsi="Times New Roman" w:cs="Times New Roman"/>
          <w:sz w:val="28"/>
          <w:szCs w:val="28"/>
        </w:rPr>
        <w:t>All of</w:t>
      </w:r>
      <w:proofErr w:type="gramEnd"/>
      <w:r w:rsidRPr="001765D7">
        <w:rPr>
          <w:rFonts w:ascii="Times New Roman" w:hAnsi="Times New Roman" w:cs="Times New Roman"/>
          <w:sz w:val="28"/>
          <w:szCs w:val="28"/>
        </w:rPr>
        <w:t xml:space="preserve"> the parties who have appeared in the action conferred concerning the contents of the proposed scheduling order on ________________, and the parties have (agreed/disagreed) as to its contents. The following positions and reasons are given by the parties for the disagreement as to the contents of the proposed scheduling order</w:t>
      </w:r>
      <w:r>
        <w:rPr>
          <w:rFonts w:ascii="Times New Roman" w:hAnsi="Times New Roman" w:cs="Times New Roman"/>
          <w:sz w:val="28"/>
          <w:szCs w:val="28"/>
        </w:rPr>
        <w:t xml:space="preserve"> _______________</w:t>
      </w:r>
      <w:proofErr w:type="gramStart"/>
      <w:r>
        <w:rPr>
          <w:rFonts w:ascii="Times New Roman" w:hAnsi="Times New Roman" w:cs="Times New Roman"/>
          <w:sz w:val="28"/>
          <w:szCs w:val="28"/>
        </w:rPr>
        <w:t>_</w:t>
      </w:r>
      <w:r w:rsidRPr="001765D7">
        <w:rPr>
          <w:rFonts w:ascii="Times New Roman" w:hAnsi="Times New Roman" w:cs="Times New Roman"/>
          <w:sz w:val="28"/>
          <w:szCs w:val="28"/>
        </w:rPr>
        <w:t xml:space="preserve"> .</w:t>
      </w:r>
      <w:proofErr w:type="gramEnd"/>
      <w:r w:rsidRPr="001765D7">
        <w:rPr>
          <w:rFonts w:ascii="Times New Roman" w:hAnsi="Times New Roman" w:cs="Times New Roman"/>
          <w:sz w:val="28"/>
          <w:szCs w:val="28"/>
        </w:rPr>
        <w:t xml:space="preserve"> Plaintiff offers the following explanation of why all parties have not been served</w:t>
      </w:r>
      <w:r>
        <w:rPr>
          <w:rFonts w:ascii="Times New Roman" w:hAnsi="Times New Roman" w:cs="Times New Roman"/>
          <w:sz w:val="28"/>
          <w:szCs w:val="28"/>
        </w:rPr>
        <w:t xml:space="preserve"> __________________</w:t>
      </w:r>
      <w:proofErr w:type="gramStart"/>
      <w:r>
        <w:rPr>
          <w:rFonts w:ascii="Times New Roman" w:hAnsi="Times New Roman" w:cs="Times New Roman"/>
          <w:sz w:val="28"/>
          <w:szCs w:val="28"/>
        </w:rPr>
        <w:t>_</w:t>
      </w:r>
      <w:r w:rsidRPr="001765D7">
        <w:rPr>
          <w:rFonts w:ascii="Times New Roman" w:hAnsi="Times New Roman" w:cs="Times New Roman"/>
          <w:sz w:val="28"/>
          <w:szCs w:val="28"/>
        </w:rPr>
        <w:t xml:space="preserve"> .</w:t>
      </w:r>
      <w:proofErr w:type="gramEnd"/>
    </w:p>
    <w:p w14:paraId="6BF013B4" w14:textId="77777777" w:rsidR="001765D7" w:rsidRDefault="001765D7" w:rsidP="001765D7">
      <w:pPr>
        <w:spacing w:line="480" w:lineRule="auto"/>
        <w:ind w:left="720"/>
        <w:rPr>
          <w:rFonts w:ascii="Times New Roman" w:hAnsi="Times New Roman" w:cs="Times New Roman"/>
          <w:sz w:val="28"/>
          <w:szCs w:val="28"/>
        </w:rPr>
      </w:pPr>
    </w:p>
    <w:p w14:paraId="3A91FEC6" w14:textId="77777777" w:rsidR="001765D7" w:rsidRDefault="001765D7" w:rsidP="001765D7">
      <w:pPr>
        <w:spacing w:line="480" w:lineRule="auto"/>
        <w:ind w:left="720"/>
        <w:rPr>
          <w:rFonts w:ascii="Times New Roman" w:hAnsi="Times New Roman" w:cs="Times New Roman"/>
          <w:sz w:val="28"/>
          <w:szCs w:val="28"/>
        </w:rPr>
      </w:pPr>
    </w:p>
    <w:p w14:paraId="1639F1D5" w14:textId="77777777" w:rsidR="001765D7" w:rsidRPr="001765D7" w:rsidRDefault="001765D7" w:rsidP="001765D7">
      <w:pPr>
        <w:spacing w:line="240" w:lineRule="auto"/>
        <w:ind w:left="720"/>
        <w:contextualSpacing/>
        <w:jc w:val="right"/>
        <w:rPr>
          <w:rFonts w:ascii="Times New Roman" w:hAnsi="Times New Roman" w:cs="Times New Roman"/>
          <w:sz w:val="28"/>
          <w:szCs w:val="28"/>
        </w:rPr>
      </w:pPr>
      <w:r w:rsidRPr="001765D7">
        <w:rPr>
          <w:rFonts w:ascii="Times New Roman" w:hAnsi="Times New Roman" w:cs="Times New Roman"/>
          <w:sz w:val="28"/>
          <w:szCs w:val="28"/>
        </w:rPr>
        <w:lastRenderedPageBreak/>
        <w:t xml:space="preserve">___________________________ </w:t>
      </w:r>
    </w:p>
    <w:p w14:paraId="1D0B2E80" w14:textId="5DF466D8" w:rsidR="001765D7" w:rsidRDefault="001765D7" w:rsidP="001765D7">
      <w:pPr>
        <w:spacing w:line="240" w:lineRule="auto"/>
        <w:ind w:left="4320" w:firstLine="720"/>
        <w:contextualSpacing/>
        <w:rPr>
          <w:rFonts w:ascii="Times New Roman" w:hAnsi="Times New Roman" w:cs="Times New Roman"/>
          <w:sz w:val="28"/>
          <w:szCs w:val="28"/>
        </w:rPr>
      </w:pPr>
      <w:r>
        <w:rPr>
          <w:rFonts w:ascii="Times New Roman" w:hAnsi="Times New Roman" w:cs="Times New Roman"/>
          <w:sz w:val="28"/>
          <w:szCs w:val="28"/>
        </w:rPr>
        <w:t xml:space="preserve">       </w:t>
      </w:r>
      <w:r w:rsidRPr="001765D7">
        <w:rPr>
          <w:rFonts w:ascii="Times New Roman" w:hAnsi="Times New Roman" w:cs="Times New Roman"/>
          <w:sz w:val="28"/>
          <w:szCs w:val="28"/>
        </w:rPr>
        <w:t xml:space="preserve">(Signature) </w:t>
      </w:r>
    </w:p>
    <w:p w14:paraId="7FF98B81" w14:textId="77777777" w:rsidR="001765D7" w:rsidRDefault="001765D7" w:rsidP="001765D7">
      <w:pPr>
        <w:spacing w:line="240" w:lineRule="auto"/>
        <w:ind w:left="4320" w:firstLine="720"/>
        <w:contextualSpacing/>
        <w:rPr>
          <w:rFonts w:ascii="Times New Roman" w:hAnsi="Times New Roman" w:cs="Times New Roman"/>
          <w:sz w:val="28"/>
          <w:szCs w:val="28"/>
        </w:rPr>
      </w:pPr>
    </w:p>
    <w:p w14:paraId="2DC5A440" w14:textId="77777777" w:rsidR="001765D7" w:rsidRPr="001765D7" w:rsidRDefault="001765D7" w:rsidP="001765D7">
      <w:pPr>
        <w:spacing w:line="240" w:lineRule="auto"/>
        <w:ind w:left="4320" w:firstLine="720"/>
        <w:contextualSpacing/>
        <w:rPr>
          <w:rFonts w:ascii="Times New Roman" w:hAnsi="Times New Roman" w:cs="Times New Roman"/>
          <w:sz w:val="28"/>
          <w:szCs w:val="28"/>
        </w:rPr>
      </w:pPr>
    </w:p>
    <w:p w14:paraId="4CAA7323" w14:textId="77777777" w:rsidR="001765D7" w:rsidRDefault="001765D7" w:rsidP="001765D7">
      <w:pPr>
        <w:spacing w:line="240" w:lineRule="auto"/>
        <w:ind w:left="720"/>
        <w:contextualSpacing/>
        <w:jc w:val="right"/>
        <w:rPr>
          <w:rFonts w:ascii="Times New Roman" w:hAnsi="Times New Roman" w:cs="Times New Roman"/>
          <w:sz w:val="28"/>
          <w:szCs w:val="28"/>
        </w:rPr>
      </w:pPr>
      <w:r w:rsidRPr="001765D7">
        <w:rPr>
          <w:rFonts w:ascii="Times New Roman" w:hAnsi="Times New Roman" w:cs="Times New Roman"/>
          <w:sz w:val="28"/>
          <w:szCs w:val="28"/>
        </w:rPr>
        <w:t xml:space="preserve">___________________________ </w:t>
      </w:r>
    </w:p>
    <w:p w14:paraId="13C694FC" w14:textId="6B730269" w:rsidR="001765D7" w:rsidRDefault="001765D7" w:rsidP="001765D7">
      <w:pPr>
        <w:spacing w:line="240" w:lineRule="auto"/>
        <w:ind w:left="360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1765D7">
        <w:rPr>
          <w:rFonts w:ascii="Times New Roman" w:hAnsi="Times New Roman" w:cs="Times New Roman"/>
          <w:sz w:val="28"/>
          <w:szCs w:val="28"/>
        </w:rPr>
        <w:t xml:space="preserve">(Print or type name) </w:t>
      </w:r>
    </w:p>
    <w:p w14:paraId="4B35E8E9" w14:textId="77777777" w:rsidR="006E618A" w:rsidRDefault="006E618A" w:rsidP="006E618A">
      <w:pPr>
        <w:spacing w:line="360" w:lineRule="auto"/>
        <w:ind w:left="2880" w:firstLine="720"/>
        <w:jc w:val="center"/>
        <w:rPr>
          <w:rFonts w:ascii="Times New Roman" w:hAnsi="Times New Roman" w:cs="Times New Roman"/>
          <w:sz w:val="28"/>
          <w:szCs w:val="28"/>
        </w:rPr>
      </w:pPr>
    </w:p>
    <w:p w14:paraId="2042E4C8" w14:textId="00795EC9" w:rsidR="001765D7" w:rsidRDefault="001765D7" w:rsidP="001765D7">
      <w:pPr>
        <w:spacing w:line="480" w:lineRule="auto"/>
        <w:ind w:left="2880" w:firstLine="720"/>
        <w:jc w:val="center"/>
        <w:rPr>
          <w:rFonts w:ascii="Times New Roman" w:hAnsi="Times New Roman" w:cs="Times New Roman"/>
          <w:sz w:val="28"/>
          <w:szCs w:val="28"/>
        </w:rPr>
      </w:pPr>
      <w:r w:rsidRPr="001765D7">
        <w:rPr>
          <w:rFonts w:ascii="Times New Roman" w:hAnsi="Times New Roman" w:cs="Times New Roman"/>
          <w:sz w:val="28"/>
          <w:szCs w:val="28"/>
        </w:rPr>
        <w:t xml:space="preserve">ATTORNEY FOR </w:t>
      </w:r>
    </w:p>
    <w:p w14:paraId="39A52D63" w14:textId="7030EEB7" w:rsidR="001765D7" w:rsidRPr="001765D7" w:rsidRDefault="001765D7" w:rsidP="006E618A">
      <w:pPr>
        <w:spacing w:line="240" w:lineRule="auto"/>
        <w:ind w:left="720"/>
        <w:contextualSpacing/>
        <w:jc w:val="right"/>
        <w:rPr>
          <w:rFonts w:ascii="Times New Roman" w:hAnsi="Times New Roman" w:cs="Times New Roman"/>
          <w:sz w:val="28"/>
          <w:szCs w:val="28"/>
        </w:rPr>
      </w:pPr>
      <w:r w:rsidRPr="001765D7">
        <w:rPr>
          <w:rFonts w:ascii="Times New Roman" w:hAnsi="Times New Roman" w:cs="Times New Roman"/>
          <w:sz w:val="28"/>
          <w:szCs w:val="28"/>
        </w:rPr>
        <w:t xml:space="preserve">___________________________ </w:t>
      </w:r>
    </w:p>
    <w:p w14:paraId="560CB04D" w14:textId="3FD470BC" w:rsidR="001765D7" w:rsidRDefault="001765D7" w:rsidP="006E618A">
      <w:pPr>
        <w:spacing w:line="240" w:lineRule="auto"/>
        <w:ind w:left="3600"/>
        <w:contextualSpacing/>
        <w:jc w:val="center"/>
        <w:rPr>
          <w:rFonts w:ascii="Times New Roman" w:hAnsi="Times New Roman" w:cs="Times New Roman"/>
          <w:sz w:val="28"/>
          <w:szCs w:val="28"/>
        </w:rPr>
      </w:pPr>
      <w:r w:rsidRPr="001765D7">
        <w:rPr>
          <w:rFonts w:ascii="Times New Roman" w:hAnsi="Times New Roman" w:cs="Times New Roman"/>
          <w:sz w:val="28"/>
          <w:szCs w:val="28"/>
        </w:rPr>
        <w:t xml:space="preserve">(Print or type name) </w:t>
      </w:r>
    </w:p>
    <w:p w14:paraId="33A923CD" w14:textId="77777777" w:rsidR="006E618A" w:rsidRDefault="006E618A" w:rsidP="006E618A">
      <w:pPr>
        <w:spacing w:line="480" w:lineRule="auto"/>
        <w:ind w:left="720"/>
        <w:rPr>
          <w:rFonts w:ascii="Times New Roman" w:hAnsi="Times New Roman" w:cs="Times New Roman"/>
          <w:sz w:val="28"/>
          <w:szCs w:val="28"/>
        </w:rPr>
      </w:pPr>
    </w:p>
    <w:p w14:paraId="0E7BAD85" w14:textId="3C737054" w:rsidR="001765D7" w:rsidRPr="001765D7" w:rsidRDefault="001765D7" w:rsidP="006E618A">
      <w:pPr>
        <w:spacing w:line="480" w:lineRule="auto"/>
        <w:ind w:left="2160" w:firstLine="720"/>
        <w:rPr>
          <w:rFonts w:ascii="Times New Roman" w:hAnsi="Times New Roman" w:cs="Times New Roman"/>
          <w:sz w:val="28"/>
          <w:szCs w:val="28"/>
        </w:rPr>
      </w:pPr>
      <w:r w:rsidRPr="001765D7">
        <w:rPr>
          <w:rFonts w:ascii="Times New Roman" w:hAnsi="Times New Roman" w:cs="Times New Roman"/>
          <w:sz w:val="28"/>
          <w:szCs w:val="28"/>
        </w:rPr>
        <w:t>CERTIFICATE OF SERVICE</w:t>
      </w:r>
    </w:p>
    <w:sectPr w:rsidR="001765D7" w:rsidRPr="0017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01446"/>
    <w:multiLevelType w:val="hybridMultilevel"/>
    <w:tmpl w:val="7E643464"/>
    <w:lvl w:ilvl="0" w:tplc="661CA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376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D7"/>
    <w:rsid w:val="00121E8C"/>
    <w:rsid w:val="001765D7"/>
    <w:rsid w:val="002C49EB"/>
    <w:rsid w:val="006E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91AE"/>
  <w15:chartTrackingRefBased/>
  <w15:docId w15:val="{9E5703F3-3A2F-46BC-8FE5-D96E0D0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D7"/>
    <w:rPr>
      <w:rFonts w:eastAsiaTheme="majorEastAsia" w:cstheme="majorBidi"/>
      <w:color w:val="272727" w:themeColor="text1" w:themeTint="D8"/>
    </w:rPr>
  </w:style>
  <w:style w:type="paragraph" w:styleId="Title">
    <w:name w:val="Title"/>
    <w:basedOn w:val="Normal"/>
    <w:next w:val="Normal"/>
    <w:link w:val="TitleChar"/>
    <w:uiPriority w:val="10"/>
    <w:qFormat/>
    <w:rsid w:val="00176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D7"/>
    <w:pPr>
      <w:spacing w:before="160"/>
      <w:jc w:val="center"/>
    </w:pPr>
    <w:rPr>
      <w:i/>
      <w:iCs/>
      <w:color w:val="404040" w:themeColor="text1" w:themeTint="BF"/>
    </w:rPr>
  </w:style>
  <w:style w:type="character" w:customStyle="1" w:styleId="QuoteChar">
    <w:name w:val="Quote Char"/>
    <w:basedOn w:val="DefaultParagraphFont"/>
    <w:link w:val="Quote"/>
    <w:uiPriority w:val="29"/>
    <w:rsid w:val="001765D7"/>
    <w:rPr>
      <w:i/>
      <w:iCs/>
      <w:color w:val="404040" w:themeColor="text1" w:themeTint="BF"/>
    </w:rPr>
  </w:style>
  <w:style w:type="paragraph" w:styleId="ListParagraph">
    <w:name w:val="List Paragraph"/>
    <w:basedOn w:val="Normal"/>
    <w:uiPriority w:val="34"/>
    <w:qFormat/>
    <w:rsid w:val="001765D7"/>
    <w:pPr>
      <w:ind w:left="720"/>
      <w:contextualSpacing/>
    </w:pPr>
  </w:style>
  <w:style w:type="character" w:styleId="IntenseEmphasis">
    <w:name w:val="Intense Emphasis"/>
    <w:basedOn w:val="DefaultParagraphFont"/>
    <w:uiPriority w:val="21"/>
    <w:qFormat/>
    <w:rsid w:val="001765D7"/>
    <w:rPr>
      <w:i/>
      <w:iCs/>
      <w:color w:val="0F4761" w:themeColor="accent1" w:themeShade="BF"/>
    </w:rPr>
  </w:style>
  <w:style w:type="paragraph" w:styleId="IntenseQuote">
    <w:name w:val="Intense Quote"/>
    <w:basedOn w:val="Normal"/>
    <w:next w:val="Normal"/>
    <w:link w:val="IntenseQuoteChar"/>
    <w:uiPriority w:val="30"/>
    <w:qFormat/>
    <w:rsid w:val="00176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5D7"/>
    <w:rPr>
      <w:i/>
      <w:iCs/>
      <w:color w:val="0F4761" w:themeColor="accent1" w:themeShade="BF"/>
    </w:rPr>
  </w:style>
  <w:style w:type="character" w:styleId="IntenseReference">
    <w:name w:val="Intense Reference"/>
    <w:basedOn w:val="DefaultParagraphFont"/>
    <w:uiPriority w:val="32"/>
    <w:qFormat/>
    <w:rsid w:val="001765D7"/>
    <w:rPr>
      <w:b/>
      <w:bCs/>
      <w:smallCaps/>
      <w:color w:val="0F4761" w:themeColor="accent1" w:themeShade="BF"/>
      <w:spacing w:val="5"/>
    </w:rPr>
  </w:style>
  <w:style w:type="table" w:customStyle="1" w:styleId="TableGrid2">
    <w:name w:val="Table Grid2"/>
    <w:basedOn w:val="TableNormal"/>
    <w:next w:val="TableGrid"/>
    <w:uiPriority w:val="59"/>
    <w:rsid w:val="001765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Appelt</dc:creator>
  <cp:keywords/>
  <dc:description/>
  <cp:lastModifiedBy>Toni Appelt</cp:lastModifiedBy>
  <cp:revision>1</cp:revision>
  <dcterms:created xsi:type="dcterms:W3CDTF">2025-02-20T17:34:00Z</dcterms:created>
  <dcterms:modified xsi:type="dcterms:W3CDTF">2025-02-20T17:46:00Z</dcterms:modified>
</cp:coreProperties>
</file>