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9" w:lineRule="auto" w:before="90"/>
        <w:ind w:left="2512"/>
      </w:pPr>
      <w:r>
        <w:rPr>
          <w:w w:val="105"/>
        </w:rPr>
        <w:t>UNITED</w:t>
      </w:r>
      <w:r>
        <w:rPr>
          <w:spacing w:val="-20"/>
          <w:w w:val="105"/>
        </w:rPr>
        <w:t> </w:t>
      </w:r>
      <w:r>
        <w:rPr>
          <w:w w:val="105"/>
        </w:rPr>
        <w:t>STATES</w:t>
      </w:r>
      <w:r>
        <w:rPr>
          <w:spacing w:val="-17"/>
          <w:w w:val="105"/>
        </w:rPr>
        <w:t> </w:t>
      </w:r>
      <w:r>
        <w:rPr>
          <w:w w:val="105"/>
        </w:rPr>
        <w:t>DISTRICT</w:t>
      </w:r>
      <w:r>
        <w:rPr>
          <w:spacing w:val="-17"/>
          <w:w w:val="105"/>
        </w:rPr>
        <w:t> </w:t>
      </w:r>
      <w:r>
        <w:rPr>
          <w:w w:val="105"/>
        </w:rPr>
        <w:t>COURT WESTERN DISTRICT OF TEXAS AUSTIN DIVISION</w:t>
      </w:r>
    </w:p>
    <w:p>
      <w:pPr>
        <w:pStyle w:val="BodyText"/>
        <w:spacing w:before="42"/>
        <w:rPr>
          <w:b/>
          <w:sz w:val="20"/>
        </w:r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2088"/>
        <w:gridCol w:w="992"/>
      </w:tblGrid>
      <w:tr>
        <w:trPr>
          <w:trHeight w:val="2020" w:hRule="atLeast"/>
        </w:trPr>
        <w:tc>
          <w:tcPr>
            <w:tcW w:w="2895" w:type="dxa"/>
          </w:tcPr>
          <w:p>
            <w:pPr>
              <w:pStyle w:val="TableParagraph"/>
              <w:spacing w:before="18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Plaintiff</w:t>
            </w:r>
          </w:p>
          <w:p>
            <w:pPr>
              <w:pStyle w:val="TableParagraph"/>
              <w:spacing w:before="30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v.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35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50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Defendant</w:t>
            </w:r>
          </w:p>
        </w:tc>
        <w:tc>
          <w:tcPr>
            <w:tcW w:w="2088" w:type="dxa"/>
          </w:tcPr>
          <w:p>
            <w:pPr>
              <w:pStyle w:val="TableParagraph"/>
              <w:spacing w:before="7"/>
              <w:ind w:right="254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§</w:t>
            </w:r>
          </w:p>
          <w:p>
            <w:pPr>
              <w:pStyle w:val="TableParagraph"/>
              <w:spacing w:before="11"/>
              <w:ind w:right="254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§</w:t>
            </w:r>
          </w:p>
          <w:p>
            <w:pPr>
              <w:pStyle w:val="TableParagraph"/>
              <w:spacing w:before="12"/>
              <w:ind w:right="254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§</w:t>
            </w:r>
          </w:p>
          <w:p>
            <w:pPr>
              <w:pStyle w:val="TableParagraph"/>
              <w:spacing w:before="19"/>
              <w:ind w:right="254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§</w:t>
            </w:r>
          </w:p>
          <w:p>
            <w:pPr>
              <w:pStyle w:val="TableParagraph"/>
              <w:spacing w:before="11"/>
              <w:ind w:right="254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§</w:t>
            </w:r>
          </w:p>
          <w:p>
            <w:pPr>
              <w:pStyle w:val="TableParagraph"/>
              <w:spacing w:before="12"/>
              <w:ind w:right="254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§</w:t>
            </w:r>
          </w:p>
          <w:p>
            <w:pPr>
              <w:pStyle w:val="TableParagraph"/>
              <w:spacing w:line="258" w:lineRule="exact" w:before="11"/>
              <w:ind w:right="254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§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4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No.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1: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3"/>
        <w:rPr>
          <w:b/>
        </w:rPr>
      </w:pPr>
    </w:p>
    <w:p>
      <w:pPr>
        <w:spacing w:before="0"/>
        <w:ind w:left="2513" w:right="2711" w:firstLine="0"/>
        <w:jc w:val="center"/>
        <w:rPr>
          <w:b/>
          <w:sz w:val="23"/>
        </w:rPr>
      </w:pPr>
      <w:r>
        <w:rPr>
          <w:b/>
          <w:sz w:val="23"/>
        </w:rPr>
        <w:t>SCHEDULING</w:t>
      </w:r>
      <w:r>
        <w:rPr>
          <w:b/>
          <w:spacing w:val="75"/>
          <w:sz w:val="23"/>
        </w:rPr>
        <w:t> </w:t>
      </w:r>
      <w:r>
        <w:rPr>
          <w:b/>
          <w:spacing w:val="-4"/>
          <w:sz w:val="23"/>
        </w:rPr>
        <w:t>ORDER</w:t>
      </w:r>
    </w:p>
    <w:p>
      <w:pPr>
        <w:pStyle w:val="BodyText"/>
        <w:spacing w:before="23"/>
        <w:rPr>
          <w:b/>
        </w:rPr>
      </w:pPr>
    </w:p>
    <w:p>
      <w:pPr>
        <w:pStyle w:val="BodyText"/>
        <w:spacing w:line="499" w:lineRule="auto"/>
        <w:ind w:left="380" w:firstLine="719"/>
      </w:pPr>
      <w:r>
        <w:rPr>
          <w:w w:val="105"/>
        </w:rPr>
        <w:t>Pursuant to Rule</w:t>
      </w:r>
      <w:r>
        <w:rPr>
          <w:w w:val="105"/>
        </w:rPr>
        <w:t> 16, Federal Rules of Civil Procedure, the</w:t>
      </w:r>
      <w:r>
        <w:rPr>
          <w:w w:val="105"/>
        </w:rPr>
        <w:t> Court issues the following Scheduling Order:</w:t>
      </w:r>
    </w:p>
    <w:p>
      <w:pPr>
        <w:pStyle w:val="ListParagraph"/>
        <w:numPr>
          <w:ilvl w:val="0"/>
          <w:numId w:val="1"/>
        </w:numPr>
        <w:tabs>
          <w:tab w:pos="1842" w:val="left" w:leader="none"/>
        </w:tabs>
        <w:spacing w:line="240" w:lineRule="auto" w:before="6" w:after="0"/>
        <w:ind w:left="1842" w:right="0" w:hanging="74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parties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complete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ADR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compliance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Local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Rule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CV-88</w:t>
      </w:r>
      <w:r>
        <w:rPr>
          <w:spacing w:val="6"/>
          <w:w w:val="105"/>
          <w:sz w:val="23"/>
        </w:rPr>
        <w:t> </w:t>
      </w:r>
      <w:r>
        <w:rPr>
          <w:spacing w:val="-5"/>
          <w:w w:val="105"/>
          <w:sz w:val="23"/>
        </w:rPr>
        <w:t>by</w:t>
      </w:r>
    </w:p>
    <w:p>
      <w:pPr>
        <w:pStyle w:val="BodyText"/>
        <w:spacing w:before="26"/>
      </w:pPr>
    </w:p>
    <w:p>
      <w:pPr>
        <w:pStyle w:val="BodyText"/>
        <w:tabs>
          <w:tab w:pos="1726" w:val="left" w:leader="none"/>
        </w:tabs>
        <w:spacing w:line="504" w:lineRule="auto"/>
        <w:ind w:left="380" w:right="377" w:hanging="1"/>
        <w:jc w:val="both"/>
      </w:pPr>
      <w:r>
        <w:rPr>
          <w:u w:val="single"/>
        </w:rPr>
        <w:tab/>
        <w:tab/>
      </w:r>
      <w:r>
        <w:rPr>
          <w:w w:val="105"/>
          <w:u w:val="none"/>
        </w:rPr>
        <w:t>.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A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motion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objecting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to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ADR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must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be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filed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not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later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than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60</w:t>
      </w:r>
      <w:r>
        <w:rPr>
          <w:spacing w:val="40"/>
          <w:w w:val="105"/>
          <w:u w:val="none"/>
        </w:rPr>
        <w:t> </w:t>
      </w:r>
      <w:r>
        <w:rPr>
          <w:w w:val="105"/>
          <w:u w:val="none"/>
        </w:rPr>
        <w:t>days before that deadline.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  <w:tab w:pos="3193" w:val="left" w:leader="none"/>
          <w:tab w:pos="5568" w:val="left" w:leader="none"/>
        </w:tabs>
        <w:spacing w:line="501" w:lineRule="auto" w:before="0" w:after="0"/>
        <w:ind w:left="380" w:right="377" w:firstLine="72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w w:val="105"/>
          <w:sz w:val="23"/>
        </w:rPr>
        <w:t> parties</w:t>
      </w:r>
      <w:r>
        <w:rPr>
          <w:w w:val="105"/>
          <w:sz w:val="23"/>
        </w:rPr>
        <w:t> asserting</w:t>
      </w:r>
      <w:r>
        <w:rPr>
          <w:w w:val="105"/>
          <w:sz w:val="23"/>
        </w:rPr>
        <w:t> claims</w:t>
      </w:r>
      <w:r>
        <w:rPr>
          <w:w w:val="105"/>
          <w:sz w:val="23"/>
        </w:rPr>
        <w:t> for</w:t>
      </w:r>
      <w:r>
        <w:rPr>
          <w:w w:val="105"/>
          <w:sz w:val="23"/>
        </w:rPr>
        <w:t> relief</w:t>
      </w:r>
      <w:r>
        <w:rPr>
          <w:w w:val="105"/>
          <w:sz w:val="23"/>
        </w:rPr>
        <w:t> shall</w:t>
      </w:r>
      <w:r>
        <w:rPr>
          <w:w w:val="105"/>
          <w:sz w:val="23"/>
        </w:rPr>
        <w:t> submit</w:t>
      </w:r>
      <w:r>
        <w:rPr>
          <w:w w:val="105"/>
          <w:sz w:val="23"/>
        </w:rPr>
        <w:t> a</w:t>
      </w:r>
      <w:r>
        <w:rPr>
          <w:w w:val="105"/>
          <w:sz w:val="23"/>
        </w:rPr>
        <w:t> written</w:t>
      </w:r>
      <w:r>
        <w:rPr>
          <w:w w:val="105"/>
          <w:sz w:val="23"/>
        </w:rPr>
        <w:t> offer</w:t>
      </w:r>
      <w:r>
        <w:rPr>
          <w:w w:val="105"/>
          <w:sz w:val="23"/>
        </w:rPr>
        <w:t> of settlement to opposing parties by </w:t>
      </w:r>
      <w:r>
        <w:rPr>
          <w:sz w:val="23"/>
          <w:u w:val="single"/>
        </w:rPr>
        <w:tab/>
      </w:r>
      <w:r>
        <w:rPr>
          <w:w w:val="105"/>
          <w:sz w:val="23"/>
          <w:u w:val="none"/>
        </w:rPr>
        <w:t>,</w:t>
      </w:r>
      <w:r>
        <w:rPr>
          <w:spacing w:val="-15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and</w:t>
      </w:r>
      <w:r>
        <w:rPr>
          <w:spacing w:val="-14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each</w:t>
      </w:r>
      <w:r>
        <w:rPr>
          <w:spacing w:val="-15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opposing</w:t>
      </w:r>
      <w:r>
        <w:rPr>
          <w:spacing w:val="-13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party</w:t>
      </w:r>
      <w:r>
        <w:rPr>
          <w:spacing w:val="-13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shall</w:t>
      </w:r>
      <w:r>
        <w:rPr>
          <w:spacing w:val="-15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respond in writing by </w:t>
      </w:r>
      <w:r>
        <w:rPr>
          <w:sz w:val="23"/>
          <w:u w:val="single"/>
        </w:rPr>
        <w:tab/>
      </w:r>
      <w:r>
        <w:rPr>
          <w:w w:val="105"/>
          <w:sz w:val="23"/>
          <w:u w:val="none"/>
        </w:rPr>
        <w:t>.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All</w:t>
      </w:r>
      <w:r>
        <w:rPr>
          <w:spacing w:val="-5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offers of</w:t>
      </w:r>
      <w:r>
        <w:rPr>
          <w:spacing w:val="-2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settlement are to be private, not filed, and the Court</w:t>
      </w:r>
      <w:r>
        <w:rPr>
          <w:w w:val="105"/>
          <w:sz w:val="23"/>
          <w:u w:val="none"/>
        </w:rPr>
        <w:t> is</w:t>
      </w:r>
      <w:r>
        <w:rPr>
          <w:w w:val="105"/>
          <w:sz w:val="23"/>
          <w:u w:val="none"/>
        </w:rPr>
        <w:t> not</w:t>
      </w:r>
      <w:r>
        <w:rPr>
          <w:w w:val="105"/>
          <w:sz w:val="23"/>
          <w:u w:val="none"/>
        </w:rPr>
        <w:t> to</w:t>
      </w:r>
      <w:r>
        <w:rPr>
          <w:w w:val="105"/>
          <w:sz w:val="23"/>
          <w:u w:val="none"/>
        </w:rPr>
        <w:t> be</w:t>
      </w:r>
      <w:r>
        <w:rPr>
          <w:w w:val="105"/>
          <w:sz w:val="23"/>
          <w:u w:val="none"/>
        </w:rPr>
        <w:t> advised</w:t>
      </w:r>
      <w:r>
        <w:rPr>
          <w:w w:val="105"/>
          <w:sz w:val="23"/>
          <w:u w:val="none"/>
        </w:rPr>
        <w:t> of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same.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parties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are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further</w:t>
      </w:r>
      <w:r>
        <w:rPr>
          <w:spacing w:val="40"/>
          <w:w w:val="105"/>
          <w:sz w:val="23"/>
          <w:u w:val="none"/>
        </w:rPr>
        <w:t> </w:t>
      </w:r>
      <w:r>
        <w:rPr>
          <w:b/>
          <w:w w:val="105"/>
          <w:sz w:val="23"/>
          <w:u w:val="none"/>
        </w:rPr>
        <w:t>ORDERED</w:t>
      </w:r>
      <w:r>
        <w:rPr>
          <w:b/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to retain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written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offers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of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settlement</w:t>
      </w:r>
      <w:r>
        <w:rPr>
          <w:spacing w:val="-3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and</w:t>
      </w:r>
      <w:r>
        <w:rPr>
          <w:spacing w:val="-4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responses</w:t>
      </w:r>
      <w:r>
        <w:rPr>
          <w:spacing w:val="-7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as</w:t>
      </w:r>
      <w:r>
        <w:rPr>
          <w:spacing w:val="-7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</w:t>
      </w:r>
      <w:r>
        <w:rPr>
          <w:spacing w:val="-2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Court</w:t>
      </w:r>
      <w:r>
        <w:rPr>
          <w:spacing w:val="-1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may</w:t>
      </w:r>
      <w:r>
        <w:rPr>
          <w:spacing w:val="-2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use</w:t>
      </w:r>
      <w:r>
        <w:rPr>
          <w:spacing w:val="-2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these</w:t>
      </w:r>
      <w:r>
        <w:rPr>
          <w:spacing w:val="-2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in assessing attorney’s</w:t>
      </w:r>
      <w:r>
        <w:rPr>
          <w:spacing w:val="-7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fees</w:t>
      </w:r>
      <w:r>
        <w:rPr>
          <w:spacing w:val="-1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and court costs at the conclusion of trial.</w:t>
      </w:r>
    </w:p>
    <w:p>
      <w:pPr>
        <w:pStyle w:val="ListParagraph"/>
        <w:numPr>
          <w:ilvl w:val="0"/>
          <w:numId w:val="1"/>
        </w:numPr>
        <w:tabs>
          <w:tab w:pos="1773" w:val="left" w:leader="none"/>
          <w:tab w:pos="5303" w:val="left" w:leader="none"/>
        </w:tabs>
        <w:spacing w:line="501" w:lineRule="auto" w:before="0" w:after="0"/>
        <w:ind w:left="380" w:right="381" w:firstLine="720"/>
        <w:jc w:val="both"/>
        <w:rPr>
          <w:sz w:val="23"/>
        </w:rPr>
      </w:pPr>
      <w:r>
        <w:rPr>
          <w:w w:val="105"/>
          <w:sz w:val="23"/>
        </w:rPr>
        <w:t>The parties shall file all motions to amend or supplement pleadings or to join additional parties on or before </w:t>
      </w:r>
      <w:r>
        <w:rPr>
          <w:rFonts w:ascii="Times New Roman"/>
          <w:sz w:val="23"/>
          <w:u w:val="single"/>
        </w:rPr>
        <w:tab/>
      </w:r>
      <w:r>
        <w:rPr>
          <w:spacing w:val="-10"/>
          <w:w w:val="105"/>
          <w:sz w:val="23"/>
          <w:u w:val="none"/>
        </w:rPr>
        <w:t>.</w:t>
      </w:r>
    </w:p>
    <w:p>
      <w:pPr>
        <w:spacing w:after="0" w:line="501" w:lineRule="auto"/>
        <w:jc w:val="both"/>
        <w:rPr>
          <w:sz w:val="23"/>
        </w:rPr>
        <w:sectPr>
          <w:type w:val="continuous"/>
          <w:pgSz w:w="12240" w:h="15840"/>
          <w:pgMar w:top="1360" w:bottom="280" w:left="1060" w:right="860"/>
        </w:sectPr>
      </w:pPr>
    </w:p>
    <w:p>
      <w:pPr>
        <w:pStyle w:val="ListParagraph"/>
        <w:numPr>
          <w:ilvl w:val="0"/>
          <w:numId w:val="1"/>
        </w:numPr>
        <w:tabs>
          <w:tab w:pos="1772" w:val="left" w:leader="none"/>
          <w:tab w:pos="3846" w:val="left" w:leader="none"/>
          <w:tab w:pos="9636" w:val="left" w:leader="none"/>
        </w:tabs>
        <w:spacing w:line="501" w:lineRule="auto" w:before="85" w:after="0"/>
        <w:ind w:left="101" w:right="112" w:firstLine="796"/>
        <w:jc w:val="both"/>
        <w:rPr>
          <w:sz w:val="23"/>
        </w:rPr>
      </w:pPr>
      <w:r>
        <w:rPr>
          <w:w w:val="105"/>
          <w:sz w:val="23"/>
        </w:rPr>
        <w:t>All</w:t>
      </w:r>
      <w:r>
        <w:rPr>
          <w:w w:val="105"/>
          <w:sz w:val="23"/>
        </w:rPr>
        <w:t> parties</w:t>
      </w:r>
      <w:r>
        <w:rPr>
          <w:w w:val="105"/>
          <w:sz w:val="23"/>
        </w:rPr>
        <w:t> asserting</w:t>
      </w:r>
      <w:r>
        <w:rPr>
          <w:w w:val="105"/>
          <w:sz w:val="23"/>
        </w:rPr>
        <w:t> claims</w:t>
      </w:r>
      <w:r>
        <w:rPr>
          <w:w w:val="105"/>
          <w:sz w:val="23"/>
        </w:rPr>
        <w:t> for</w:t>
      </w:r>
      <w:r>
        <w:rPr>
          <w:w w:val="105"/>
          <w:sz w:val="23"/>
        </w:rPr>
        <w:t> relief</w:t>
      </w:r>
      <w:r>
        <w:rPr>
          <w:w w:val="105"/>
          <w:sz w:val="23"/>
        </w:rPr>
        <w:t> shall</w:t>
      </w:r>
      <w:r>
        <w:rPr>
          <w:w w:val="105"/>
          <w:sz w:val="23"/>
        </w:rPr>
        <w:t> </w:t>
      </w:r>
      <w:r>
        <w:rPr>
          <w:b/>
          <w:w w:val="105"/>
          <w:sz w:val="23"/>
        </w:rPr>
        <w:t>FILE</w:t>
      </w:r>
      <w:r>
        <w:rPr>
          <w:b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w w:val="105"/>
          <w:sz w:val="23"/>
        </w:rPr>
        <w:t> designation</w:t>
      </w:r>
      <w:r>
        <w:rPr>
          <w:w w:val="105"/>
          <w:sz w:val="23"/>
        </w:rPr>
        <w:t> of testifying experts and serve on all parties, but not file, the materials required by Fed.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R. Civ.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26(a)(2)(B)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11"/>
          <w:w w:val="105"/>
          <w:sz w:val="23"/>
        </w:rPr>
        <w:t> </w:t>
      </w:r>
      <w:r>
        <w:rPr>
          <w:rFonts w:ascii="Times New Roman"/>
          <w:sz w:val="23"/>
          <w:u w:val="single"/>
        </w:rPr>
        <w:tab/>
      </w:r>
      <w:r>
        <w:rPr>
          <w:w w:val="105"/>
          <w:sz w:val="23"/>
          <w:u w:val="none"/>
        </w:rPr>
        <w:t>.</w:t>
      </w:r>
      <w:r>
        <w:rPr>
          <w:w w:val="105"/>
          <w:sz w:val="23"/>
          <w:u w:val="none"/>
        </w:rPr>
        <w:t> Parties</w:t>
      </w:r>
      <w:r>
        <w:rPr>
          <w:w w:val="105"/>
          <w:sz w:val="23"/>
          <w:u w:val="none"/>
        </w:rPr>
        <w:t> resisting</w:t>
      </w:r>
      <w:r>
        <w:rPr>
          <w:w w:val="105"/>
          <w:sz w:val="23"/>
          <w:u w:val="none"/>
        </w:rPr>
        <w:t> claims</w:t>
      </w:r>
      <w:r>
        <w:rPr>
          <w:w w:val="105"/>
          <w:sz w:val="23"/>
          <w:u w:val="none"/>
        </w:rPr>
        <w:t> for</w:t>
      </w:r>
      <w:r>
        <w:rPr>
          <w:w w:val="105"/>
          <w:sz w:val="23"/>
          <w:u w:val="none"/>
        </w:rPr>
        <w:t> relief</w:t>
      </w:r>
      <w:r>
        <w:rPr>
          <w:w w:val="105"/>
          <w:sz w:val="23"/>
          <w:u w:val="none"/>
        </w:rPr>
        <w:t> shall</w:t>
      </w:r>
      <w:r>
        <w:rPr>
          <w:w w:val="105"/>
          <w:sz w:val="23"/>
          <w:u w:val="none"/>
        </w:rPr>
        <w:t> </w:t>
      </w:r>
      <w:r>
        <w:rPr>
          <w:b/>
          <w:w w:val="105"/>
          <w:sz w:val="23"/>
          <w:u w:val="none"/>
        </w:rPr>
        <w:t>FILE</w:t>
      </w:r>
      <w:r>
        <w:rPr>
          <w:b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their designation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of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testifying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experts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and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serve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on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all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parties,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but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not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file,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the materials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required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by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Fed.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R.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Civ.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P.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26(a)(2)(B)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on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or</w:t>
      </w:r>
      <w:r>
        <w:rPr>
          <w:spacing w:val="8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before</w:t>
      </w:r>
      <w:r>
        <w:rPr>
          <w:spacing w:val="120"/>
          <w:w w:val="105"/>
          <w:sz w:val="23"/>
          <w:u w:val="none"/>
        </w:rPr>
        <w:t> </w:t>
      </w:r>
      <w:r>
        <w:rPr>
          <w:sz w:val="23"/>
          <w:u w:val="single"/>
        </w:rPr>
        <w:tab/>
      </w:r>
      <w:r>
        <w:rPr>
          <w:w w:val="105"/>
          <w:sz w:val="23"/>
          <w:u w:val="none"/>
        </w:rPr>
        <w:t>.</w:t>
      </w:r>
      <w:r>
        <w:rPr>
          <w:w w:val="105"/>
          <w:sz w:val="23"/>
          <w:u w:val="none"/>
        </w:rPr>
        <w:t> All designations</w:t>
      </w:r>
      <w:r>
        <w:rPr>
          <w:w w:val="105"/>
          <w:sz w:val="23"/>
          <w:u w:val="none"/>
        </w:rPr>
        <w:t> of</w:t>
      </w:r>
      <w:r>
        <w:rPr>
          <w:w w:val="105"/>
          <w:sz w:val="23"/>
          <w:u w:val="none"/>
        </w:rPr>
        <w:t> rebuttal</w:t>
      </w:r>
      <w:r>
        <w:rPr>
          <w:w w:val="105"/>
          <w:sz w:val="23"/>
          <w:u w:val="none"/>
        </w:rPr>
        <w:t> experts</w:t>
      </w:r>
      <w:r>
        <w:rPr>
          <w:w w:val="105"/>
          <w:sz w:val="23"/>
          <w:u w:val="none"/>
        </w:rPr>
        <w:t> shall</w:t>
      </w:r>
      <w:r>
        <w:rPr>
          <w:w w:val="105"/>
          <w:sz w:val="23"/>
          <w:u w:val="none"/>
        </w:rPr>
        <w:t> be</w:t>
      </w:r>
      <w:r>
        <w:rPr>
          <w:w w:val="105"/>
          <w:sz w:val="23"/>
          <w:u w:val="none"/>
        </w:rPr>
        <w:t> </w:t>
      </w:r>
      <w:r>
        <w:rPr>
          <w:b/>
          <w:w w:val="105"/>
          <w:sz w:val="23"/>
          <w:u w:val="none"/>
        </w:rPr>
        <w:t>FILED</w:t>
      </w:r>
      <w:r>
        <w:rPr>
          <w:w w:val="105"/>
          <w:sz w:val="23"/>
          <w:u w:val="none"/>
        </w:rPr>
        <w:t>,</w:t>
      </w:r>
      <w:r>
        <w:rPr>
          <w:w w:val="105"/>
          <w:sz w:val="23"/>
          <w:u w:val="none"/>
        </w:rPr>
        <w:t> and</w:t>
      </w:r>
      <w:r>
        <w:rPr>
          <w:w w:val="105"/>
          <w:sz w:val="23"/>
          <w:u w:val="none"/>
        </w:rPr>
        <w:t> the</w:t>
      </w:r>
      <w:r>
        <w:rPr>
          <w:w w:val="105"/>
          <w:sz w:val="23"/>
          <w:u w:val="none"/>
        </w:rPr>
        <w:t> materials</w:t>
      </w:r>
      <w:r>
        <w:rPr>
          <w:w w:val="105"/>
          <w:sz w:val="23"/>
          <w:u w:val="none"/>
        </w:rPr>
        <w:t> required</w:t>
      </w:r>
      <w:r>
        <w:rPr>
          <w:w w:val="105"/>
          <w:sz w:val="23"/>
          <w:u w:val="none"/>
        </w:rPr>
        <w:t> by</w:t>
      </w:r>
      <w:r>
        <w:rPr>
          <w:w w:val="105"/>
          <w:sz w:val="23"/>
          <w:u w:val="none"/>
        </w:rPr>
        <w:t> Fed.</w:t>
      </w:r>
      <w:r>
        <w:rPr>
          <w:w w:val="105"/>
          <w:sz w:val="23"/>
          <w:u w:val="none"/>
        </w:rPr>
        <w:t> R. Civ.</w:t>
      </w:r>
      <w:r>
        <w:rPr>
          <w:w w:val="105"/>
          <w:sz w:val="23"/>
          <w:u w:val="none"/>
        </w:rPr>
        <w:t> P.</w:t>
      </w:r>
      <w:r>
        <w:rPr>
          <w:w w:val="105"/>
          <w:sz w:val="23"/>
          <w:u w:val="none"/>
        </w:rPr>
        <w:t> 26(a)(2)(B)</w:t>
      </w:r>
      <w:r>
        <w:rPr>
          <w:w w:val="105"/>
          <w:sz w:val="23"/>
          <w:u w:val="none"/>
        </w:rPr>
        <w:t> for</w:t>
      </w:r>
      <w:r>
        <w:rPr>
          <w:w w:val="105"/>
          <w:sz w:val="23"/>
          <w:u w:val="none"/>
        </w:rPr>
        <w:t> such</w:t>
      </w:r>
      <w:r>
        <w:rPr>
          <w:w w:val="105"/>
          <w:sz w:val="23"/>
          <w:u w:val="none"/>
        </w:rPr>
        <w:t> rebuttal</w:t>
      </w:r>
      <w:r>
        <w:rPr>
          <w:w w:val="105"/>
          <w:sz w:val="23"/>
          <w:u w:val="none"/>
        </w:rPr>
        <w:t> experts,</w:t>
      </w:r>
      <w:r>
        <w:rPr>
          <w:w w:val="105"/>
          <w:sz w:val="23"/>
          <w:u w:val="none"/>
        </w:rPr>
        <w:t> to</w:t>
      </w:r>
      <w:r>
        <w:rPr>
          <w:w w:val="105"/>
          <w:sz w:val="23"/>
          <w:u w:val="none"/>
        </w:rPr>
        <w:t> the</w:t>
      </w:r>
      <w:r>
        <w:rPr>
          <w:w w:val="105"/>
          <w:sz w:val="23"/>
          <w:u w:val="none"/>
        </w:rPr>
        <w:t> extent</w:t>
      </w:r>
      <w:r>
        <w:rPr>
          <w:w w:val="105"/>
          <w:sz w:val="23"/>
          <w:u w:val="none"/>
        </w:rPr>
        <w:t> not</w:t>
      </w:r>
      <w:r>
        <w:rPr>
          <w:w w:val="105"/>
          <w:sz w:val="23"/>
          <w:u w:val="none"/>
        </w:rPr>
        <w:t> already</w:t>
      </w:r>
      <w:r>
        <w:rPr>
          <w:w w:val="105"/>
          <w:sz w:val="23"/>
          <w:u w:val="none"/>
        </w:rPr>
        <w:t> served,</w:t>
      </w:r>
      <w:r>
        <w:rPr>
          <w:w w:val="105"/>
          <w:sz w:val="23"/>
          <w:u w:val="none"/>
        </w:rPr>
        <w:t> shall</w:t>
      </w:r>
      <w:r>
        <w:rPr>
          <w:w w:val="105"/>
          <w:sz w:val="23"/>
          <w:u w:val="none"/>
        </w:rPr>
        <w:t> be </w:t>
      </w:r>
      <w:r>
        <w:rPr>
          <w:b/>
          <w:w w:val="105"/>
          <w:sz w:val="23"/>
          <w:u w:val="none"/>
        </w:rPr>
        <w:t>SERVED</w:t>
      </w:r>
      <w:r>
        <w:rPr>
          <w:w w:val="105"/>
          <w:sz w:val="23"/>
          <w:u w:val="none"/>
        </w:rPr>
        <w:t>, within 14 days of receipt of the report of the opposing expert.</w:t>
      </w:r>
    </w:p>
    <w:p>
      <w:pPr>
        <w:pStyle w:val="ListParagraph"/>
        <w:numPr>
          <w:ilvl w:val="0"/>
          <w:numId w:val="1"/>
        </w:numPr>
        <w:tabs>
          <w:tab w:pos="1575" w:val="left" w:leader="none"/>
        </w:tabs>
        <w:spacing w:line="501" w:lineRule="auto" w:before="0" w:after="0"/>
        <w:ind w:left="101" w:right="353" w:firstLine="737"/>
        <w:jc w:val="left"/>
        <w:rPr>
          <w:i/>
          <w:sz w:val="23"/>
        </w:rPr>
      </w:pPr>
      <w:r>
        <w:rPr>
          <w:w w:val="105"/>
          <w:sz w:val="23"/>
        </w:rPr>
        <w:t>An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objection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reliability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expert’s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proposed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testimony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under Federal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Rule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Evidence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702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motion,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specifically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stating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basis for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objection,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identifying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objectionable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testimony,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14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days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of receipt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written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expert’s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proposed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testimony,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14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days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of the expert’s deposition, if a deposition is taken, whichever is later.</w:t>
      </w:r>
    </w:p>
    <w:p>
      <w:pPr>
        <w:pStyle w:val="ListParagraph"/>
        <w:numPr>
          <w:ilvl w:val="0"/>
          <w:numId w:val="1"/>
        </w:numPr>
        <w:tabs>
          <w:tab w:pos="1607" w:val="left" w:leader="none"/>
          <w:tab w:pos="2248" w:val="left" w:leader="none"/>
          <w:tab w:pos="3252" w:val="left" w:leader="none"/>
          <w:tab w:pos="4007" w:val="left" w:leader="none"/>
          <w:tab w:pos="5220" w:val="left" w:leader="none"/>
          <w:tab w:pos="5713" w:val="left" w:leader="none"/>
          <w:tab w:pos="6976" w:val="left" w:leader="none"/>
          <w:tab w:pos="7450" w:val="left" w:leader="none"/>
          <w:tab w:pos="7887" w:val="left" w:leader="none"/>
          <w:tab w:pos="8789" w:val="left" w:leader="none"/>
          <w:tab w:pos="10135" w:val="left" w:leader="none"/>
        </w:tabs>
        <w:spacing w:line="274" w:lineRule="exact" w:before="0" w:after="0"/>
        <w:ind w:left="1607" w:right="0" w:hanging="770"/>
        <w:jc w:val="left"/>
        <w:rPr>
          <w:i/>
          <w:sz w:val="23"/>
        </w:rPr>
      </w:pPr>
      <w:r>
        <w:rPr>
          <w:spacing w:val="-5"/>
          <w:w w:val="105"/>
          <w:sz w:val="23"/>
        </w:rPr>
        <w:t>The</w:t>
      </w:r>
      <w:r>
        <w:rPr>
          <w:sz w:val="23"/>
        </w:rPr>
        <w:tab/>
      </w:r>
      <w:r>
        <w:rPr>
          <w:spacing w:val="-2"/>
          <w:w w:val="105"/>
          <w:sz w:val="23"/>
        </w:rPr>
        <w:t>parties</w:t>
      </w:r>
      <w:r>
        <w:rPr>
          <w:sz w:val="23"/>
        </w:rPr>
        <w:tab/>
      </w:r>
      <w:r>
        <w:rPr>
          <w:spacing w:val="-2"/>
          <w:w w:val="105"/>
          <w:sz w:val="23"/>
        </w:rPr>
        <w:t>shall</w:t>
      </w:r>
      <w:r>
        <w:rPr>
          <w:sz w:val="23"/>
        </w:rPr>
        <w:tab/>
      </w:r>
      <w:r>
        <w:rPr>
          <w:spacing w:val="-2"/>
          <w:w w:val="105"/>
          <w:sz w:val="23"/>
        </w:rPr>
        <w:t>complete</w:t>
      </w:r>
      <w:r>
        <w:rPr>
          <w:sz w:val="23"/>
        </w:rPr>
        <w:tab/>
      </w:r>
      <w:r>
        <w:rPr>
          <w:spacing w:val="-5"/>
          <w:w w:val="105"/>
          <w:sz w:val="23"/>
        </w:rPr>
        <w:t>all</w:t>
      </w:r>
      <w:r>
        <w:rPr>
          <w:sz w:val="23"/>
        </w:rPr>
        <w:tab/>
      </w:r>
      <w:r>
        <w:rPr>
          <w:spacing w:val="-2"/>
          <w:w w:val="105"/>
          <w:sz w:val="23"/>
        </w:rPr>
        <w:t>discovery</w:t>
      </w:r>
      <w:r>
        <w:rPr>
          <w:sz w:val="23"/>
        </w:rPr>
        <w:tab/>
      </w:r>
      <w:r>
        <w:rPr>
          <w:spacing w:val="-5"/>
          <w:w w:val="105"/>
          <w:sz w:val="23"/>
        </w:rPr>
        <w:t>on</w:t>
      </w:r>
      <w:r>
        <w:rPr>
          <w:sz w:val="23"/>
        </w:rPr>
        <w:tab/>
      </w:r>
      <w:r>
        <w:rPr>
          <w:spacing w:val="-5"/>
          <w:w w:val="105"/>
          <w:sz w:val="23"/>
        </w:rPr>
        <w:t>or</w:t>
      </w:r>
      <w:r>
        <w:rPr>
          <w:sz w:val="23"/>
        </w:rPr>
        <w:tab/>
      </w:r>
      <w:r>
        <w:rPr>
          <w:spacing w:val="-2"/>
          <w:w w:val="105"/>
          <w:sz w:val="23"/>
        </w:rPr>
        <w:t>before</w:t>
      </w:r>
      <w:r>
        <w:rPr>
          <w:sz w:val="23"/>
        </w:rPr>
        <w:tab/>
      </w:r>
      <w:r>
        <w:rPr>
          <w:sz w:val="23"/>
          <w:u w:val="single"/>
        </w:rPr>
        <w:tab/>
      </w:r>
      <w:r>
        <w:rPr>
          <w:spacing w:val="-10"/>
          <w:w w:val="105"/>
          <w:sz w:val="23"/>
          <w:u w:val="none"/>
        </w:rPr>
        <w:t>.</w:t>
      </w:r>
    </w:p>
    <w:p>
      <w:pPr>
        <w:pStyle w:val="BodyText"/>
        <w:spacing w:before="19"/>
      </w:pPr>
    </w:p>
    <w:p>
      <w:pPr>
        <w:pStyle w:val="BodyText"/>
        <w:tabs>
          <w:tab w:pos="7027" w:val="left" w:leader="none"/>
        </w:tabs>
        <w:spacing w:line="501" w:lineRule="auto" w:before="1"/>
        <w:ind w:left="118" w:right="113"/>
        <w:jc w:val="both"/>
      </w:pPr>
      <w:r>
        <w:rPr>
          <w:w w:val="105"/>
        </w:rPr>
        <w:t>Counsel may by agreement continue discovery beyond the deadline, but there will be no intervention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Court</w:t>
      </w:r>
      <w:r>
        <w:rPr>
          <w:spacing w:val="40"/>
          <w:w w:val="105"/>
        </w:rPr>
        <w:t> </w:t>
      </w:r>
      <w:r>
        <w:rPr>
          <w:w w:val="105"/>
        </w:rPr>
        <w:t>except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extraordinary</w:t>
      </w:r>
      <w:r>
        <w:rPr>
          <w:spacing w:val="40"/>
          <w:w w:val="105"/>
        </w:rPr>
        <w:t> </w:t>
      </w:r>
      <w:r>
        <w:rPr>
          <w:w w:val="105"/>
        </w:rPr>
        <w:t>circumstances,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trial</w:t>
      </w:r>
      <w:r>
        <w:rPr>
          <w:spacing w:val="40"/>
          <w:w w:val="105"/>
        </w:rPr>
        <w:t> </w:t>
      </w:r>
      <w:r>
        <w:rPr>
          <w:w w:val="105"/>
        </w:rPr>
        <w:t>setting will</w:t>
      </w:r>
      <w:r>
        <w:rPr>
          <w:w w:val="105"/>
        </w:rPr>
        <w:t> be</w:t>
      </w:r>
      <w:r>
        <w:rPr>
          <w:w w:val="105"/>
        </w:rPr>
        <w:t> vacated</w:t>
      </w:r>
      <w:r>
        <w:rPr>
          <w:w w:val="105"/>
        </w:rPr>
        <w:t> because</w:t>
      </w:r>
      <w:r>
        <w:rPr>
          <w:w w:val="105"/>
        </w:rPr>
        <w:t> of</w:t>
      </w:r>
      <w:r>
        <w:rPr>
          <w:w w:val="105"/>
        </w:rPr>
        <w:t> information</w:t>
      </w:r>
      <w:r>
        <w:rPr>
          <w:w w:val="105"/>
        </w:rPr>
        <w:t> obtained</w:t>
      </w:r>
      <w:r>
        <w:rPr>
          <w:w w:val="105"/>
        </w:rPr>
        <w:t> in</w:t>
      </w:r>
      <w:r>
        <w:rPr>
          <w:w w:val="105"/>
        </w:rPr>
        <w:t> post-deadline</w:t>
      </w:r>
      <w:r>
        <w:rPr>
          <w:w w:val="105"/>
        </w:rPr>
        <w:t> discovery.</w:t>
      </w:r>
      <w:r>
        <w:rPr>
          <w:w w:val="105"/>
        </w:rPr>
        <w:t> 6.</w:t>
      </w:r>
      <w:r>
        <w:rPr>
          <w:w w:val="105"/>
        </w:rPr>
        <w:t> All dispositive motions shall be filed no later than </w:t>
      </w:r>
      <w:r>
        <w:rPr>
          <w:u w:val="single"/>
        </w:rPr>
        <w:tab/>
      </w:r>
      <w:r>
        <w:rPr>
          <w:spacing w:val="-10"/>
          <w:w w:val="105"/>
          <w:u w:val="none"/>
        </w:rPr>
        <w:t>.</w:t>
      </w:r>
    </w:p>
    <w:p>
      <w:pPr>
        <w:pStyle w:val="Heading1"/>
        <w:spacing w:line="501" w:lineRule="auto"/>
        <w:ind w:right="113" w:firstLine="719"/>
        <w:jc w:val="both"/>
      </w:pPr>
      <w:r>
        <w:rPr>
          <w:w w:val="105"/>
        </w:rPr>
        <w:t>The</w:t>
      </w:r>
      <w:r>
        <w:rPr>
          <w:w w:val="105"/>
        </w:rPr>
        <w:t> parties</w:t>
      </w:r>
      <w:r>
        <w:rPr>
          <w:w w:val="105"/>
        </w:rPr>
        <w:t> shall</w:t>
      </w:r>
      <w:r>
        <w:rPr>
          <w:w w:val="105"/>
        </w:rPr>
        <w:t> not</w:t>
      </w:r>
      <w:r>
        <w:rPr>
          <w:w w:val="105"/>
        </w:rPr>
        <w:t> complete the following</w:t>
      </w:r>
      <w:r>
        <w:rPr>
          <w:w w:val="105"/>
        </w:rPr>
        <w:t> paragraph.</w:t>
      </w:r>
      <w:r>
        <w:rPr>
          <w:w w:val="105"/>
        </w:rPr>
        <w:t> It</w:t>
      </w:r>
      <w:r>
        <w:rPr>
          <w:w w:val="105"/>
        </w:rPr>
        <w:t> will</w:t>
      </w:r>
      <w:r>
        <w:rPr>
          <w:w w:val="105"/>
        </w:rPr>
        <w:t> be completed</w:t>
      </w:r>
      <w:r>
        <w:rPr>
          <w:spacing w:val="80"/>
          <w:w w:val="150"/>
        </w:rPr>
        <w:t> </w:t>
      </w:r>
      <w:r>
        <w:rPr>
          <w:w w:val="105"/>
        </w:rPr>
        <w:t>by</w:t>
      </w:r>
      <w:r>
        <w:rPr>
          <w:spacing w:val="80"/>
          <w:w w:val="150"/>
        </w:rPr>
        <w:t> </w:t>
      </w:r>
      <w:r>
        <w:rPr>
          <w:w w:val="105"/>
        </w:rPr>
        <w:t>the</w:t>
      </w:r>
      <w:r>
        <w:rPr>
          <w:spacing w:val="80"/>
          <w:w w:val="150"/>
        </w:rPr>
        <w:t> </w:t>
      </w:r>
      <w:r>
        <w:rPr>
          <w:w w:val="105"/>
        </w:rPr>
        <w:t>Court</w:t>
      </w:r>
      <w:r>
        <w:rPr>
          <w:spacing w:val="80"/>
          <w:w w:val="150"/>
        </w:rPr>
        <w:t> </w:t>
      </w:r>
      <w:r>
        <w:rPr>
          <w:w w:val="105"/>
        </w:rPr>
        <w:t>at</w:t>
      </w:r>
      <w:r>
        <w:rPr>
          <w:spacing w:val="80"/>
          <w:w w:val="150"/>
        </w:rPr>
        <w:t> </w:t>
      </w:r>
      <w:r>
        <w:rPr>
          <w:w w:val="105"/>
        </w:rPr>
        <w:t>the</w:t>
      </w:r>
      <w:r>
        <w:rPr>
          <w:spacing w:val="80"/>
          <w:w w:val="150"/>
        </w:rPr>
        <w:t> </w:t>
      </w:r>
      <w:r>
        <w:rPr>
          <w:w w:val="105"/>
        </w:rPr>
        <w:t>initial</w:t>
      </w:r>
      <w:r>
        <w:rPr>
          <w:spacing w:val="80"/>
          <w:w w:val="150"/>
        </w:rPr>
        <w:t> </w:t>
      </w:r>
      <w:r>
        <w:rPr>
          <w:w w:val="105"/>
        </w:rPr>
        <w:t>pretrial</w:t>
      </w:r>
      <w:r>
        <w:rPr>
          <w:spacing w:val="80"/>
          <w:w w:val="150"/>
        </w:rPr>
        <w:t> </w:t>
      </w:r>
      <w:r>
        <w:rPr>
          <w:w w:val="105"/>
        </w:rPr>
        <w:t>conference</w:t>
      </w:r>
      <w:r>
        <w:rPr>
          <w:spacing w:val="80"/>
          <w:w w:val="150"/>
        </w:rPr>
        <w:t> </w:t>
      </w:r>
      <w:r>
        <w:rPr>
          <w:w w:val="105"/>
        </w:rPr>
        <w:t>to</w:t>
      </w:r>
      <w:r>
        <w:rPr>
          <w:spacing w:val="80"/>
          <w:w w:val="150"/>
        </w:rPr>
        <w:t> </w:t>
      </w:r>
      <w:r>
        <w:rPr>
          <w:w w:val="105"/>
        </w:rPr>
        <w:t>be scheduled by the Court.</w:t>
      </w:r>
    </w:p>
    <w:p>
      <w:pPr>
        <w:spacing w:after="0" w:line="501" w:lineRule="auto"/>
        <w:jc w:val="both"/>
        <w:sectPr>
          <w:footerReference w:type="default" r:id="rId5"/>
          <w:pgSz w:w="12240" w:h="15840"/>
          <w:pgMar w:header="0" w:footer="1078" w:top="1200" w:bottom="1260" w:left="1060" w:right="86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1857" w:val="left" w:leader="none"/>
          <w:tab w:pos="8306" w:val="left" w:leader="none"/>
          <w:tab w:pos="9818" w:val="left" w:leader="none"/>
        </w:tabs>
        <w:spacing w:line="240" w:lineRule="auto" w:before="78" w:after="0"/>
        <w:ind w:left="1857" w:right="0" w:hanging="723"/>
        <w:jc w:val="left"/>
        <w:rPr>
          <w:sz w:val="23"/>
        </w:rPr>
      </w:pPr>
      <w:r>
        <w:rPr>
          <w:w w:val="105"/>
          <w:sz w:val="23"/>
        </w:rPr>
        <w:t>This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set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pretrial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conference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1"/>
          <w:w w:val="105"/>
          <w:sz w:val="23"/>
        </w:rPr>
        <w:t> </w:t>
      </w:r>
      <w:r>
        <w:rPr>
          <w:rFonts w:ascii="Times New Roman"/>
          <w:sz w:val="23"/>
          <w:u w:val="single"/>
        </w:rPr>
        <w:tab/>
      </w:r>
      <w:r>
        <w:rPr>
          <w:w w:val="105"/>
          <w:sz w:val="23"/>
          <w:u w:val="none"/>
        </w:rPr>
        <w:t>,</w:t>
      </w:r>
      <w:r>
        <w:rPr>
          <w:spacing w:val="40"/>
          <w:w w:val="105"/>
          <w:sz w:val="23"/>
          <w:u w:val="none"/>
        </w:rPr>
        <w:t> </w:t>
      </w:r>
      <w:r>
        <w:rPr>
          <w:w w:val="105"/>
          <w:sz w:val="23"/>
          <w:u w:val="none"/>
        </w:rPr>
        <w:t>at</w:t>
      </w:r>
      <w:r>
        <w:rPr>
          <w:spacing w:val="31"/>
          <w:w w:val="105"/>
          <w:sz w:val="23"/>
          <w:u w:val="none"/>
        </w:rPr>
        <w:t> </w:t>
      </w:r>
      <w:r>
        <w:rPr>
          <w:rFonts w:ascii="Times New Roman"/>
          <w:sz w:val="23"/>
          <w:u w:val="single"/>
        </w:rPr>
        <w:tab/>
      </w:r>
    </w:p>
    <w:p>
      <w:pPr>
        <w:pStyle w:val="BodyText"/>
        <w:spacing w:before="35"/>
        <w:rPr>
          <w:rFonts w:ascii="Times New Roman"/>
        </w:rPr>
      </w:pPr>
    </w:p>
    <w:p>
      <w:pPr>
        <w:pStyle w:val="BodyText"/>
        <w:tabs>
          <w:tab w:pos="4967" w:val="left" w:leader="none"/>
          <w:tab w:pos="6446" w:val="left" w:leader="none"/>
        </w:tabs>
        <w:spacing w:line="499" w:lineRule="auto"/>
        <w:ind w:left="414" w:right="637"/>
        <w:jc w:val="both"/>
      </w:pPr>
      <w:r>
        <w:rPr>
          <w:w w:val="105"/>
        </w:rPr>
        <w:t>and</w:t>
      </w:r>
      <w:r>
        <w:rPr>
          <w:w w:val="105"/>
        </w:rPr>
        <w:t> set for</w:t>
      </w:r>
      <w:r>
        <w:rPr>
          <w:w w:val="105"/>
        </w:rPr>
        <w:t> jury trial</w:t>
      </w:r>
      <w:r>
        <w:rPr>
          <w:w w:val="105"/>
        </w:rPr>
        <w:t> on </w:t>
      </w:r>
      <w:r>
        <w:rPr>
          <w:u w:val="single"/>
        </w:rPr>
        <w:tab/>
      </w:r>
      <w:r>
        <w:rPr>
          <w:w w:val="105"/>
          <w:u w:val="none"/>
        </w:rPr>
        <w:t>, at</w:t>
      </w:r>
      <w:r>
        <w:rPr>
          <w:u w:val="single"/>
        </w:rPr>
        <w:tab/>
      </w:r>
      <w:r>
        <w:rPr>
          <w:w w:val="105"/>
          <w:u w:val="none"/>
        </w:rPr>
        <w:t>. The</w:t>
      </w:r>
      <w:r>
        <w:rPr>
          <w:w w:val="105"/>
          <w:u w:val="none"/>
        </w:rPr>
        <w:t> parties</w:t>
      </w:r>
      <w:r>
        <w:rPr>
          <w:w w:val="105"/>
          <w:u w:val="none"/>
        </w:rPr>
        <w:t> should consult Local</w:t>
      </w:r>
      <w:r>
        <w:rPr>
          <w:spacing w:val="31"/>
          <w:w w:val="105"/>
          <w:u w:val="none"/>
        </w:rPr>
        <w:t> </w:t>
      </w:r>
      <w:r>
        <w:rPr>
          <w:w w:val="105"/>
          <w:u w:val="none"/>
        </w:rPr>
        <w:t>Rule</w:t>
      </w:r>
      <w:r>
        <w:rPr>
          <w:spacing w:val="-3"/>
          <w:w w:val="105"/>
          <w:u w:val="none"/>
        </w:rPr>
        <w:t> </w:t>
      </w:r>
      <w:r>
        <w:rPr>
          <w:w w:val="105"/>
          <w:u w:val="none"/>
        </w:rPr>
        <w:t>CV-16(e)</w:t>
      </w:r>
      <w:r>
        <w:rPr>
          <w:spacing w:val="-7"/>
          <w:w w:val="105"/>
          <w:u w:val="none"/>
        </w:rPr>
        <w:t> </w:t>
      </w:r>
      <w:r>
        <w:rPr>
          <w:w w:val="105"/>
          <w:u w:val="none"/>
        </w:rPr>
        <w:t>regarding matters</w:t>
      </w:r>
      <w:r>
        <w:rPr>
          <w:spacing w:val="-9"/>
          <w:w w:val="105"/>
          <w:u w:val="none"/>
        </w:rPr>
        <w:t> </w:t>
      </w:r>
      <w:r>
        <w:rPr>
          <w:w w:val="105"/>
          <w:u w:val="none"/>
        </w:rPr>
        <w:t>to be</w:t>
      </w:r>
      <w:r>
        <w:rPr>
          <w:spacing w:val="-3"/>
          <w:w w:val="105"/>
          <w:u w:val="none"/>
        </w:rPr>
        <w:t> </w:t>
      </w:r>
      <w:r>
        <w:rPr>
          <w:w w:val="105"/>
          <w:u w:val="none"/>
        </w:rPr>
        <w:t>filed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in</w:t>
      </w:r>
      <w:r>
        <w:rPr>
          <w:spacing w:val="-1"/>
          <w:w w:val="105"/>
          <w:u w:val="none"/>
        </w:rPr>
        <w:t> </w:t>
      </w:r>
      <w:r>
        <w:rPr>
          <w:w w:val="105"/>
          <w:u w:val="none"/>
        </w:rPr>
        <w:t>advance</w:t>
      </w:r>
      <w:r>
        <w:rPr>
          <w:spacing w:val="-3"/>
          <w:w w:val="105"/>
          <w:u w:val="none"/>
        </w:rPr>
        <w:t> </w:t>
      </w:r>
      <w:r>
        <w:rPr>
          <w:w w:val="105"/>
          <w:u w:val="none"/>
        </w:rPr>
        <w:t>of</w:t>
      </w:r>
      <w:r>
        <w:rPr>
          <w:spacing w:val="-7"/>
          <w:w w:val="105"/>
          <w:u w:val="none"/>
        </w:rPr>
        <w:t> </w:t>
      </w:r>
      <w:r>
        <w:rPr>
          <w:w w:val="105"/>
          <w:u w:val="none"/>
        </w:rPr>
        <w:t>trial.</w:t>
      </w:r>
    </w:p>
    <w:p>
      <w:pPr>
        <w:pStyle w:val="ListParagraph"/>
        <w:numPr>
          <w:ilvl w:val="0"/>
          <w:numId w:val="1"/>
        </w:numPr>
        <w:tabs>
          <w:tab w:pos="1938" w:val="left" w:leader="none"/>
        </w:tabs>
        <w:spacing w:line="501" w:lineRule="auto" w:before="3" w:after="0"/>
        <w:ind w:left="467" w:right="409" w:firstLine="719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parties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consult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Local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Rule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CV-16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regarding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matters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to be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filed in advance of trial. The parties, however, are exempted from that portion of Local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Rule</w:t>
      </w:r>
      <w:r>
        <w:rPr>
          <w:w w:val="105"/>
          <w:sz w:val="23"/>
        </w:rPr>
        <w:t> CV-16</w:t>
      </w:r>
      <w:r>
        <w:rPr>
          <w:w w:val="105"/>
          <w:sz w:val="23"/>
        </w:rPr>
        <w:t> requiring</w:t>
      </w:r>
      <w:r>
        <w:rPr>
          <w:w w:val="105"/>
          <w:sz w:val="23"/>
        </w:rPr>
        <w:t> that</w:t>
      </w:r>
      <w:r>
        <w:rPr>
          <w:w w:val="105"/>
          <w:sz w:val="23"/>
        </w:rPr>
        <w:t> seven</w:t>
      </w:r>
      <w:r>
        <w:rPr>
          <w:w w:val="105"/>
          <w:sz w:val="23"/>
        </w:rPr>
        <w:t> days</w:t>
      </w:r>
      <w:r>
        <w:rPr>
          <w:w w:val="105"/>
          <w:sz w:val="23"/>
        </w:rPr>
        <w:t> prior</w:t>
      </w:r>
      <w:r>
        <w:rPr>
          <w:w w:val="105"/>
          <w:sz w:val="23"/>
        </w:rPr>
        <w:t> to</w:t>
      </w:r>
      <w:r>
        <w:rPr>
          <w:w w:val="105"/>
          <w:sz w:val="23"/>
        </w:rPr>
        <w:t> trial</w:t>
      </w:r>
      <w:r>
        <w:rPr>
          <w:w w:val="105"/>
          <w:sz w:val="23"/>
        </w:rPr>
        <w:t> they</w:t>
      </w:r>
      <w:r>
        <w:rPr>
          <w:w w:val="105"/>
          <w:sz w:val="23"/>
        </w:rPr>
        <w:t> file</w:t>
      </w:r>
      <w:r>
        <w:rPr>
          <w:w w:val="105"/>
          <w:sz w:val="23"/>
        </w:rPr>
        <w:t> “a</w:t>
      </w:r>
      <w:r>
        <w:rPr>
          <w:w w:val="105"/>
          <w:sz w:val="23"/>
        </w:rPr>
        <w:t> list</w:t>
      </w:r>
      <w:r>
        <w:rPr>
          <w:w w:val="105"/>
          <w:sz w:val="23"/>
        </w:rPr>
        <w:t> disclosing any</w:t>
      </w:r>
      <w:r>
        <w:rPr>
          <w:w w:val="105"/>
          <w:sz w:val="23"/>
        </w:rPr>
        <w:t> objections,</w:t>
      </w:r>
      <w:r>
        <w:rPr>
          <w:w w:val="105"/>
          <w:sz w:val="23"/>
        </w:rPr>
        <w:t> together</w:t>
      </w:r>
      <w:r>
        <w:rPr>
          <w:w w:val="105"/>
          <w:sz w:val="23"/>
        </w:rPr>
        <w:t> with</w:t>
      </w:r>
      <w:r>
        <w:rPr>
          <w:w w:val="105"/>
          <w:sz w:val="23"/>
        </w:rPr>
        <w:t> the</w:t>
      </w:r>
      <w:r>
        <w:rPr>
          <w:w w:val="105"/>
          <w:sz w:val="23"/>
        </w:rPr>
        <w:t> grounds</w:t>
      </w:r>
      <w:r>
        <w:rPr>
          <w:w w:val="105"/>
          <w:sz w:val="23"/>
        </w:rPr>
        <w:t> therefore,</w:t>
      </w:r>
      <w:r>
        <w:rPr>
          <w:w w:val="105"/>
          <w:sz w:val="23"/>
        </w:rPr>
        <w:t> that</w:t>
      </w:r>
      <w:r>
        <w:rPr>
          <w:w w:val="105"/>
          <w:sz w:val="23"/>
        </w:rPr>
        <w:t> may</w:t>
      </w:r>
      <w:r>
        <w:rPr>
          <w:w w:val="105"/>
          <w:sz w:val="23"/>
        </w:rPr>
        <w:t> be</w:t>
      </w:r>
      <w:r>
        <w:rPr>
          <w:w w:val="105"/>
          <w:sz w:val="23"/>
        </w:rPr>
        <w:t> made</w:t>
      </w:r>
      <w:r>
        <w:rPr>
          <w:w w:val="105"/>
          <w:sz w:val="23"/>
        </w:rPr>
        <w:t> to</w:t>
      </w:r>
      <w:r>
        <w:rPr>
          <w:w w:val="105"/>
          <w:sz w:val="23"/>
        </w:rPr>
        <w:t> the admissibility 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exhibits.”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lieu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requirement,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Court</w:t>
      </w:r>
      <w:r>
        <w:rPr>
          <w:spacing w:val="-1"/>
          <w:w w:val="105"/>
          <w:sz w:val="23"/>
        </w:rPr>
        <w:t> </w:t>
      </w:r>
      <w:r>
        <w:rPr>
          <w:b/>
          <w:w w:val="105"/>
          <w:sz w:val="23"/>
        </w:rPr>
        <w:t>ORDERS </w:t>
      </w:r>
      <w:r>
        <w:rPr>
          <w:w w:val="105"/>
          <w:sz w:val="23"/>
        </w:rPr>
        <w:t>that, after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receiving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final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exhibit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list,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parties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confer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each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to discuss,</w:t>
      </w:r>
      <w:r>
        <w:rPr>
          <w:w w:val="105"/>
          <w:sz w:val="23"/>
        </w:rPr>
        <w:t> and</w:t>
      </w:r>
      <w:r>
        <w:rPr>
          <w:w w:val="105"/>
          <w:sz w:val="23"/>
        </w:rPr>
        <w:t> resolve,</w:t>
      </w:r>
      <w:r>
        <w:rPr>
          <w:w w:val="105"/>
          <w:sz w:val="23"/>
        </w:rPr>
        <w:t> if</w:t>
      </w:r>
      <w:r>
        <w:rPr>
          <w:w w:val="105"/>
          <w:sz w:val="23"/>
        </w:rPr>
        <w:t> possible,</w:t>
      </w:r>
      <w:r>
        <w:rPr>
          <w:w w:val="105"/>
          <w:sz w:val="23"/>
        </w:rPr>
        <w:t> any</w:t>
      </w:r>
      <w:r>
        <w:rPr>
          <w:w w:val="105"/>
          <w:sz w:val="23"/>
        </w:rPr>
        <w:t> objections</w:t>
      </w:r>
      <w:r>
        <w:rPr>
          <w:w w:val="105"/>
          <w:sz w:val="23"/>
        </w:rPr>
        <w:t> they</w:t>
      </w:r>
      <w:r>
        <w:rPr>
          <w:w w:val="105"/>
          <w:sz w:val="23"/>
        </w:rPr>
        <w:t> may</w:t>
      </w:r>
      <w:r>
        <w:rPr>
          <w:w w:val="105"/>
          <w:sz w:val="23"/>
        </w:rPr>
        <w:t> have</w:t>
      </w:r>
      <w:r>
        <w:rPr>
          <w:w w:val="105"/>
          <w:sz w:val="23"/>
        </w:rPr>
        <w:t> to</w:t>
      </w:r>
      <w:r>
        <w:rPr>
          <w:w w:val="105"/>
          <w:sz w:val="23"/>
        </w:rPr>
        <w:t> each</w:t>
      </w:r>
      <w:r>
        <w:rPr>
          <w:w w:val="105"/>
          <w:sz w:val="23"/>
        </w:rPr>
        <w:t> other’s exhibits.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Court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40"/>
          <w:w w:val="105"/>
          <w:sz w:val="23"/>
        </w:rPr>
        <w:t> </w:t>
      </w:r>
      <w:r>
        <w:rPr>
          <w:b/>
          <w:w w:val="105"/>
          <w:sz w:val="23"/>
        </w:rPr>
        <w:t>ORDERS</w:t>
      </w:r>
      <w:r>
        <w:rPr>
          <w:b/>
          <w:spacing w:val="4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parties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prepared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inform the</w:t>
      </w:r>
      <w:r>
        <w:rPr>
          <w:w w:val="105"/>
          <w:sz w:val="23"/>
        </w:rPr>
        <w:t> Court</w:t>
      </w:r>
      <w:r>
        <w:rPr>
          <w:w w:val="105"/>
          <w:sz w:val="23"/>
        </w:rPr>
        <w:t> at</w:t>
      </w:r>
      <w:r>
        <w:rPr>
          <w:w w:val="105"/>
          <w:sz w:val="23"/>
        </w:rPr>
        <w:t> the</w:t>
      </w:r>
      <w:r>
        <w:rPr>
          <w:w w:val="105"/>
          <w:sz w:val="23"/>
        </w:rPr>
        <w:t> final</w:t>
      </w:r>
      <w:r>
        <w:rPr>
          <w:w w:val="105"/>
          <w:sz w:val="23"/>
        </w:rPr>
        <w:t> pretrial</w:t>
      </w:r>
      <w:r>
        <w:rPr>
          <w:w w:val="105"/>
          <w:sz w:val="23"/>
        </w:rPr>
        <w:t> conference</w:t>
      </w:r>
      <w:r>
        <w:rPr>
          <w:w w:val="105"/>
          <w:sz w:val="23"/>
        </w:rPr>
        <w:t> of</w:t>
      </w:r>
      <w:r>
        <w:rPr>
          <w:w w:val="105"/>
          <w:sz w:val="23"/>
        </w:rPr>
        <w:t> the</w:t>
      </w:r>
      <w:r>
        <w:rPr>
          <w:w w:val="105"/>
          <w:sz w:val="23"/>
        </w:rPr>
        <w:t> exhibits</w:t>
      </w:r>
      <w:r>
        <w:rPr>
          <w:w w:val="105"/>
          <w:sz w:val="23"/>
        </w:rPr>
        <w:t> to</w:t>
      </w:r>
      <w:r>
        <w:rPr>
          <w:w w:val="105"/>
          <w:sz w:val="23"/>
        </w:rPr>
        <w:t> which</w:t>
      </w:r>
      <w:r>
        <w:rPr>
          <w:w w:val="105"/>
          <w:sz w:val="23"/>
        </w:rPr>
        <w:t> there</w:t>
      </w:r>
      <w:r>
        <w:rPr>
          <w:w w:val="105"/>
          <w:sz w:val="23"/>
        </w:rPr>
        <w:t> is</w:t>
      </w:r>
      <w:r>
        <w:rPr>
          <w:w w:val="105"/>
          <w:sz w:val="23"/>
        </w:rPr>
        <w:t> no objection,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exhibits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objections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remain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resolution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 Court.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Court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determine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final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pretrial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conference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whether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to address at that time any evidentiary issues which may remain, or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reserve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those</w:t>
      </w:r>
    </w:p>
    <w:p>
      <w:pPr>
        <w:pStyle w:val="BodyText"/>
        <w:spacing w:before="82"/>
        <w:ind w:left="467"/>
        <w:jc w:val="both"/>
      </w:pPr>
      <w:r>
        <w:rPr>
          <w:w w:val="105"/>
        </w:rPr>
        <w:t>matters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trial.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1"/>
        <w:ind w:left="499" w:right="0"/>
        <w:jc w:val="left"/>
      </w:pPr>
      <w:r>
        <w:rPr>
          <w:spacing w:val="-2"/>
          <w:w w:val="105"/>
        </w:rPr>
        <w:t>SIGNED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3767108</wp:posOffset>
                </wp:positionH>
                <wp:positionV relativeFrom="paragraph">
                  <wp:posOffset>287246</wp:posOffset>
                </wp:positionV>
                <wp:extent cx="26949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94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4940" h="0">
                              <a:moveTo>
                                <a:pt x="0" y="0"/>
                              </a:moveTo>
                              <a:lnTo>
                                <a:pt x="269494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622742pt;margin-top:22.617851pt;width:212.2pt;height:.1pt;mso-position-horizontal-relative:page;mso-position-vertical-relative:paragraph;z-index:-15728640;mso-wrap-distance-left:0;mso-wrap-distance-right:0" id="docshape2" coordorigin="5932,452" coordsize="4244,0" path="m5932,452l10176,45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9"/>
        <w:ind w:left="4886"/>
      </w:pPr>
      <w:r>
        <w:rPr>
          <w:w w:val="105"/>
        </w:rPr>
        <w:t>DUSTIN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HOWELL</w:t>
      </w:r>
    </w:p>
    <w:p>
      <w:pPr>
        <w:pStyle w:val="BodyText"/>
        <w:spacing w:before="11"/>
        <w:ind w:left="4886"/>
      </w:pPr>
      <w:r>
        <w:rPr>
          <w:spacing w:val="-6"/>
        </w:rPr>
        <w:t>UNITED</w:t>
      </w:r>
      <w:r>
        <w:rPr>
          <w:spacing w:val="-11"/>
        </w:rPr>
        <w:t> </w:t>
      </w:r>
      <w:r>
        <w:rPr>
          <w:spacing w:val="-6"/>
        </w:rPr>
        <w:t>STATES</w:t>
      </w:r>
      <w:r>
        <w:rPr>
          <w:spacing w:val="-13"/>
        </w:rPr>
        <w:t> </w:t>
      </w:r>
      <w:r>
        <w:rPr>
          <w:spacing w:val="-6"/>
        </w:rPr>
        <w:t>MAGISTRATE</w:t>
      </w:r>
      <w:r>
        <w:rPr>
          <w:spacing w:val="-3"/>
        </w:rPr>
        <w:t> </w:t>
      </w:r>
      <w:r>
        <w:rPr>
          <w:spacing w:val="-6"/>
        </w:rPr>
        <w:t>JUDGE</w:t>
      </w:r>
    </w:p>
    <w:sectPr>
      <w:pgSz w:w="12240" w:h="15840"/>
      <w:pgMar w:header="0" w:footer="1078" w:top="1220" w:bottom="1260" w:left="10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Schoolbook">
    <w:altName w:val="Century Schoolbook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3802379</wp:posOffset>
              </wp:positionH>
              <wp:positionV relativeFrom="page">
                <wp:posOffset>9234020</wp:posOffset>
              </wp:positionV>
              <wp:extent cx="173355" cy="2070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3355" cy="207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399994pt;margin-top:727.088196pt;width:13.65pt;height:16.3pt;mso-position-horizontal-relative:page;mso-position-vertical-relative:page;z-index:-157767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42" w:hanging="742"/>
        <w:jc w:val="right"/>
      </w:pPr>
      <w:rPr>
        <w:rFonts w:hint="default"/>
        <w:spacing w:val="-3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8" w:hanging="7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4" w:hanging="7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7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7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6" w:hanging="7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7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Schoolbook" w:hAnsi="Century Schoolbook" w:eastAsia="Century Schoolbook" w:cs="Century School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Schoolbook" w:hAnsi="Century Schoolbook" w:eastAsia="Century Schoolbook" w:cs="Century Schoolbook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 w:right="2711"/>
      <w:jc w:val="center"/>
      <w:outlineLvl w:val="1"/>
    </w:pPr>
    <w:rPr>
      <w:rFonts w:ascii="Century Schoolbook" w:hAnsi="Century Schoolbook" w:eastAsia="Century Schoolbook" w:cs="Century Schoolbook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" w:firstLine="720"/>
    </w:pPr>
    <w:rPr>
      <w:rFonts w:ascii="Century Schoolbook" w:hAnsi="Century Schoolbook" w:eastAsia="Century Schoolbook" w:cs="Century School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Schoolbook" w:hAnsi="Century Schoolbook" w:eastAsia="Century Schoolbook" w:cs="Century Schoolboo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USDC-Nebraska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Smith</dc:creator>
  <dcterms:created xsi:type="dcterms:W3CDTF">2025-02-20T15:07:28Z</dcterms:created>
  <dcterms:modified xsi:type="dcterms:W3CDTF">2025-02-20T15:07:28Z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0x01010001B5A4B8B3F02E499328C6A47F84D201</vt:lpwstr>
  </property>
  <property fmtid="{D5CDD505-2E9C-101B-9397-08002B2CF9AE}" pid="3" name="Created">
    <vt:filetime>2023-01-03T00:00:00Z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2025-02-20T00:00:00Z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>D:20230103173620</vt:lpwstr>
  </property>
</Properties>
</file>