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D30" w:rsidRPr="00E05D91" w:rsidRDefault="00661F05" w:rsidP="00674E2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05D91">
        <w:rPr>
          <w:b/>
          <w:bCs/>
          <w:sz w:val="28"/>
          <w:szCs w:val="28"/>
        </w:rPr>
        <w:t>STANDING ORDER CONCERNING REMOVED CASES</w:t>
      </w:r>
    </w:p>
    <w:p w:rsidR="00661F05" w:rsidRPr="00E05D91" w:rsidRDefault="00661F05" w:rsidP="00674E20">
      <w:pPr>
        <w:jc w:val="both"/>
        <w:rPr>
          <w:sz w:val="28"/>
          <w:szCs w:val="28"/>
        </w:rPr>
      </w:pPr>
      <w:r w:rsidRPr="00E05D91">
        <w:rPr>
          <w:b/>
          <w:bCs/>
          <w:sz w:val="28"/>
          <w:szCs w:val="28"/>
          <w:u w:val="single"/>
        </w:rPr>
        <w:t>NOTICE TO REMOVING DEFENDANT</w:t>
      </w:r>
      <w:r w:rsidR="00E0794A" w:rsidRPr="00E05D91">
        <w:rPr>
          <w:b/>
          <w:bCs/>
          <w:sz w:val="28"/>
          <w:szCs w:val="28"/>
          <w:u w:val="single"/>
        </w:rPr>
        <w:t>(</w:t>
      </w:r>
      <w:r w:rsidRPr="00E05D91">
        <w:rPr>
          <w:b/>
          <w:bCs/>
          <w:sz w:val="28"/>
          <w:szCs w:val="28"/>
          <w:u w:val="single"/>
        </w:rPr>
        <w:t>S</w:t>
      </w:r>
      <w:r w:rsidR="00E0794A" w:rsidRPr="00E05D91">
        <w:rPr>
          <w:b/>
          <w:bCs/>
          <w:sz w:val="28"/>
          <w:szCs w:val="28"/>
          <w:u w:val="single"/>
        </w:rPr>
        <w:t>)</w:t>
      </w:r>
      <w:r w:rsidRPr="00E05D91">
        <w:rPr>
          <w:sz w:val="28"/>
          <w:szCs w:val="28"/>
        </w:rPr>
        <w:t xml:space="preserve">: </w:t>
      </w:r>
    </w:p>
    <w:p w:rsidR="00661F05" w:rsidRDefault="00C54B65" w:rsidP="00674E20">
      <w:pPr>
        <w:jc w:val="both"/>
      </w:pPr>
      <w:r>
        <w:t xml:space="preserve">(1) </w:t>
      </w:r>
      <w:r w:rsidRPr="00E05D91">
        <w:rPr>
          <w:b/>
          <w:bCs/>
          <w:u w:val="single"/>
        </w:rPr>
        <w:t>FILE THE COMPLETE STATE COURT RECORD</w:t>
      </w:r>
      <w:r>
        <w:t>.</w:t>
      </w:r>
      <w:r w:rsidR="00661F05">
        <w:t xml:space="preserve"> Pursuant to 28 U.S.C. </w:t>
      </w:r>
      <w:r w:rsidR="00661F05" w:rsidRPr="00DF0622">
        <w:t>§</w:t>
      </w:r>
      <w:r w:rsidR="00661F05">
        <w:t xml:space="preserve"> 1447(b) and the Fact Sheet for Judge Xavier Rodriguez (available at</w:t>
      </w:r>
      <w:r w:rsidR="00D815CC">
        <w:t xml:space="preserve"> </w:t>
      </w:r>
      <w:r w:rsidR="00D815CC" w:rsidRPr="00D815CC">
        <w:t>https://www.txwd.uscourts.gov</w:t>
      </w:r>
      <w:r w:rsidR="00661F05">
        <w:t xml:space="preserve">), </w:t>
      </w:r>
      <w:r w:rsidR="003051E0">
        <w:t xml:space="preserve">if not already done, </w:t>
      </w:r>
      <w:r w:rsidR="00661F05">
        <w:t>the removing party</w:t>
      </w:r>
      <w:r w:rsidR="002C2988">
        <w:t>(</w:t>
      </w:r>
      <w:proofErr w:type="spellStart"/>
      <w:r w:rsidR="002C2988">
        <w:t>ies</w:t>
      </w:r>
      <w:proofErr w:type="spellEnd"/>
      <w:r w:rsidR="002C2988">
        <w:t>)</w:t>
      </w:r>
      <w:r w:rsidR="00661F05">
        <w:t xml:space="preserve"> shall, within fourteen days of this Order, supplement the record with all state court pleadings. The supplement is to be filed electronically and shall include a copy of the complete file, including the docket sheet, in this cause from the court from which this case </w:t>
      </w:r>
      <w:r w:rsidR="00E0794A">
        <w:t>was</w:t>
      </w:r>
      <w:r w:rsidR="00661F05">
        <w:t xml:space="preserve"> removed. </w:t>
      </w:r>
    </w:p>
    <w:p w:rsidR="00C54B65" w:rsidRPr="00C54B65" w:rsidRDefault="00661F05" w:rsidP="00674E20">
      <w:pPr>
        <w:jc w:val="both"/>
        <w:rPr>
          <w:u w:val="single"/>
        </w:rPr>
      </w:pPr>
      <w:r>
        <w:t xml:space="preserve">(2) </w:t>
      </w:r>
      <w:r w:rsidR="00C54B65" w:rsidRPr="00E05D91">
        <w:rPr>
          <w:b/>
          <w:bCs/>
          <w:u w:val="single"/>
        </w:rPr>
        <w:t>PROPERLY PLEAD THE CITIZENSHIP OF ALL PARTIES</w:t>
      </w:r>
      <w:r w:rsidR="00C54B65">
        <w:t xml:space="preserve">. </w:t>
      </w:r>
      <w:r>
        <w:t>If this case has been removed on the basis of diversity jurisdiction u</w:t>
      </w:r>
      <w:r w:rsidRPr="00661F05">
        <w:t>nder 28 U.S.C. § 1332</w:t>
      </w:r>
      <w:r>
        <w:t>,</w:t>
      </w:r>
      <w:r w:rsidRPr="00661F05">
        <w:t xml:space="preserve"> </w:t>
      </w:r>
      <w:r>
        <w:t>the removing party</w:t>
      </w:r>
      <w:r w:rsidRPr="00661F05">
        <w:t xml:space="preserve"> has the burden to demonstrate that there is complete diversity</w:t>
      </w:r>
      <w:r>
        <w:t xml:space="preserve"> by properly pleading the citizenship of all parties</w:t>
      </w:r>
      <w:r w:rsidRPr="00661F05">
        <w:t>.</w:t>
      </w:r>
      <w:r w:rsidR="007661FA">
        <w:t xml:space="preserve"> P</w:t>
      </w:r>
      <w:r w:rsidR="007661FA" w:rsidRPr="007661FA">
        <w:t>arties must make “clear, distinct, and precise affirmative jurisdictional allegations</w:t>
      </w:r>
      <w:r w:rsidR="007661FA">
        <w:t>.</w:t>
      </w:r>
      <w:r w:rsidR="007661FA" w:rsidRPr="007661FA">
        <w:t>”</w:t>
      </w:r>
      <w:r w:rsidR="007661FA">
        <w:t xml:space="preserve"> </w:t>
      </w:r>
      <w:proofErr w:type="spellStart"/>
      <w:r w:rsidR="007661FA" w:rsidRPr="00C54B65">
        <w:rPr>
          <w:rFonts w:cstheme="minorHAnsi"/>
          <w:i/>
        </w:rPr>
        <w:t>MidCap</w:t>
      </w:r>
      <w:proofErr w:type="spellEnd"/>
      <w:r w:rsidR="007661FA" w:rsidRPr="00C54B65">
        <w:rPr>
          <w:rFonts w:cstheme="minorHAnsi"/>
          <w:i/>
        </w:rPr>
        <w:t xml:space="preserve"> Media Fin., L.L.C. v. Pathway Data, Inc.</w:t>
      </w:r>
      <w:r w:rsidR="007661FA" w:rsidRPr="00C54B65">
        <w:rPr>
          <w:rFonts w:cstheme="minorHAnsi"/>
        </w:rPr>
        <w:t>, 929 F.3d 310, 313 (5th Cir. 2019)</w:t>
      </w:r>
      <w:r w:rsidR="007661FA">
        <w:rPr>
          <w:rFonts w:cstheme="minorHAnsi"/>
        </w:rPr>
        <w:t>.</w:t>
      </w:r>
      <w:r w:rsidR="007661FA" w:rsidRPr="00C54B65">
        <w:rPr>
          <w:rFonts w:cstheme="minorHAnsi"/>
        </w:rPr>
        <w:t xml:space="preserve"> </w:t>
      </w:r>
      <w:r w:rsidR="003051E0">
        <w:t>The removing party</w:t>
      </w:r>
      <w:r w:rsidR="00C54B65">
        <w:t xml:space="preserve"> shall ensure that they have properly pled the citizenship of all parties in this case </w:t>
      </w:r>
      <w:r w:rsidR="00674E20">
        <w:t xml:space="preserve">as outlined below, </w:t>
      </w:r>
      <w:r w:rsidR="00C54B65">
        <w:t xml:space="preserve">and shall file an amended notice of removal or supplement their original notice of removal within </w:t>
      </w:r>
      <w:r w:rsidR="007661FA">
        <w:t>14</w:t>
      </w:r>
      <w:r w:rsidR="00C54B65">
        <w:t xml:space="preserve"> days of this Order</w:t>
      </w:r>
      <w:r w:rsidR="002C2988">
        <w:t xml:space="preserve"> if they have not</w:t>
      </w:r>
      <w:r w:rsidR="00C54B65">
        <w:t xml:space="preserve">. </w:t>
      </w:r>
      <w:r w:rsidR="00C54B65" w:rsidRPr="00C54B65">
        <w:rPr>
          <w:u w:val="single"/>
        </w:rPr>
        <w:t xml:space="preserve">Failure to file an amended Notice of Removal or to supplement the record with proper citizenship allegations </w:t>
      </w:r>
      <w:r w:rsidR="007661FA">
        <w:rPr>
          <w:u w:val="single"/>
        </w:rPr>
        <w:t xml:space="preserve">within 14 days </w:t>
      </w:r>
      <w:r w:rsidR="00C54B65" w:rsidRPr="00C54B65">
        <w:rPr>
          <w:u w:val="single"/>
        </w:rPr>
        <w:t xml:space="preserve">may result in remand of this action by the Court </w:t>
      </w:r>
      <w:r w:rsidR="00C54B65" w:rsidRPr="007661FA">
        <w:rPr>
          <w:i/>
          <w:iCs/>
          <w:u w:val="single"/>
        </w:rPr>
        <w:t>without further notice</w:t>
      </w:r>
      <w:r w:rsidR="00C54B65" w:rsidRPr="00C54B65">
        <w:rPr>
          <w:u w:val="single"/>
        </w:rPr>
        <w:t xml:space="preserve">. </w:t>
      </w:r>
    </w:p>
    <w:p w:rsidR="00C54B65" w:rsidRPr="00C54B65" w:rsidRDefault="00C54B65" w:rsidP="00674E20">
      <w:pPr>
        <w:ind w:left="720" w:right="720"/>
        <w:jc w:val="both"/>
        <w:rPr>
          <w:rFonts w:cstheme="minorHAnsi"/>
        </w:rPr>
      </w:pPr>
      <w:r>
        <w:t xml:space="preserve">(a) </w:t>
      </w:r>
      <w:r w:rsidRPr="00E05D91">
        <w:rPr>
          <w:b/>
          <w:bCs/>
        </w:rPr>
        <w:t>Individuals/Natural Persons</w:t>
      </w:r>
      <w:r>
        <w:t>: For individuals, pleading residence is insufficient; the notice of removal must plead their citizenship</w:t>
      </w:r>
      <w:r w:rsidRPr="00C54B65">
        <w:rPr>
          <w:rFonts w:cstheme="minorHAnsi"/>
        </w:rPr>
        <w:t xml:space="preserve">.  </w:t>
      </w:r>
      <w:proofErr w:type="spellStart"/>
      <w:r w:rsidRPr="00C54B65">
        <w:rPr>
          <w:rFonts w:cstheme="minorHAnsi"/>
          <w:i/>
        </w:rPr>
        <w:t>MidCap</w:t>
      </w:r>
      <w:proofErr w:type="spellEnd"/>
      <w:r w:rsidRPr="00C54B65">
        <w:rPr>
          <w:rFonts w:cstheme="minorHAnsi"/>
          <w:i/>
        </w:rPr>
        <w:t xml:space="preserve"> Media Fin., L.L.C. v. Pathway Data, Inc.</w:t>
      </w:r>
      <w:r w:rsidRPr="00C54B65">
        <w:rPr>
          <w:rFonts w:cstheme="minorHAnsi"/>
        </w:rPr>
        <w:t xml:space="preserve">, 929 F.3d 310, 313 (5th Cir. 2019) (“For individuals, citizenship has the same meaning as domicile, and the place of residence is prima facie the domicile. Nevertheless, </w:t>
      </w:r>
      <w:r w:rsidR="007661FA">
        <w:rPr>
          <w:rFonts w:cstheme="minorHAnsi"/>
        </w:rPr>
        <w:t xml:space="preserve">citizenship and residence are not synonymous terms. Citizenship requires not only residence in fact but also the purpose to make the place of residence one’s home. Therefore, </w:t>
      </w:r>
      <w:r w:rsidRPr="00C54B65">
        <w:rPr>
          <w:rFonts w:cstheme="minorHAnsi"/>
        </w:rPr>
        <w:t>an allegation of residency alone does not satisfy the requirement of an allegation of citizenship.”)</w:t>
      </w:r>
      <w:r w:rsidR="007661FA">
        <w:rPr>
          <w:rFonts w:cstheme="minorHAnsi"/>
        </w:rPr>
        <w:t xml:space="preserve"> (cleaned up)</w:t>
      </w:r>
      <w:r w:rsidRPr="00C54B65">
        <w:rPr>
          <w:rFonts w:cstheme="minorHAnsi"/>
        </w:rPr>
        <w:t>.</w:t>
      </w:r>
    </w:p>
    <w:p w:rsidR="00674E20" w:rsidRDefault="00C54B65" w:rsidP="00674E20">
      <w:pPr>
        <w:ind w:left="720" w:right="720"/>
        <w:jc w:val="both"/>
      </w:pPr>
      <w:r>
        <w:t xml:space="preserve">(b) </w:t>
      </w:r>
      <w:r w:rsidRPr="00E05D91">
        <w:rPr>
          <w:b/>
          <w:bCs/>
        </w:rPr>
        <w:t>LLCS, Partnerships, and Unincorporated Associations</w:t>
      </w:r>
      <w:r>
        <w:t xml:space="preserve">: </w:t>
      </w:r>
      <w:r w:rsidR="00661F05" w:rsidRPr="00661F05">
        <w:t xml:space="preserve">The citizenship of limited liability entities is determined by the citizenship of </w:t>
      </w:r>
      <w:r w:rsidR="00661F05">
        <w:t xml:space="preserve">all </w:t>
      </w:r>
      <w:r w:rsidR="00661F05" w:rsidRPr="00661F05">
        <w:t xml:space="preserve">their members. </w:t>
      </w:r>
      <w:r w:rsidR="00661F05" w:rsidRPr="00C54B65">
        <w:rPr>
          <w:i/>
          <w:iCs/>
        </w:rPr>
        <w:t>Harvey v. Grey Wolf Drilling Co</w:t>
      </w:r>
      <w:r w:rsidR="00661F05" w:rsidRPr="00661F05">
        <w:t xml:space="preserve">., 542 F.3d 1077, 1080 (5th Cir. 2008). </w:t>
      </w:r>
      <w:r w:rsidR="00661F05">
        <w:t xml:space="preserve">Similarly, the citizenship of a partnership is determined by the citizenship of all its partners. </w:t>
      </w:r>
      <w:r w:rsidRPr="00C54B65">
        <w:rPr>
          <w:i/>
          <w:iCs/>
        </w:rPr>
        <w:t>Carden v. Arkoma Assoc</w:t>
      </w:r>
      <w:r>
        <w:rPr>
          <w:i/>
          <w:iCs/>
        </w:rPr>
        <w:t>s.</w:t>
      </w:r>
      <w:r w:rsidRPr="00C54B65">
        <w:t xml:space="preserve">, 494 U.S. 185, 195-96 (1990); </w:t>
      </w:r>
      <w:r w:rsidRPr="00C54B65">
        <w:rPr>
          <w:i/>
          <w:iCs/>
        </w:rPr>
        <w:t>Corfield v. Dallas Glen Hills, L.P</w:t>
      </w:r>
      <w:r w:rsidRPr="00C54B65">
        <w:t>., 355 F.3d 853, 856 n.3 (5th Cir. 2003</w:t>
      </w:r>
      <w:r w:rsidR="002C2988">
        <w:t>)</w:t>
      </w:r>
      <w:r w:rsidRPr="00C54B65">
        <w:t xml:space="preserve">. “A party seeking to establish diversity jurisdiction must specifically allege the citizenship of every member of every LLC or partnership involved in a litigation.” </w:t>
      </w:r>
      <w:r w:rsidRPr="002C2988">
        <w:rPr>
          <w:i/>
          <w:iCs/>
        </w:rPr>
        <w:t>Settlement Funding, L.L.C. v. Rapid Settlements, Ltd.</w:t>
      </w:r>
      <w:r w:rsidRPr="00C54B65">
        <w:t>, 851 F.3d 530, 536 (5th Cir. 2017).</w:t>
      </w:r>
      <w:r w:rsidR="002C2988">
        <w:t xml:space="preserve"> </w:t>
      </w:r>
      <w:r w:rsidR="00661F05" w:rsidRPr="00661F05">
        <w:t xml:space="preserve">When members </w:t>
      </w:r>
      <w:r w:rsidR="002C2988">
        <w:t xml:space="preserve">or partners </w:t>
      </w:r>
      <w:r w:rsidR="00661F05" w:rsidRPr="00661F05">
        <w:t>are themselves entities or associations, citizenship must be traced through however many layers of members</w:t>
      </w:r>
      <w:r w:rsidR="002C2988">
        <w:t>/partners</w:t>
      </w:r>
      <w:r w:rsidR="00661F05" w:rsidRPr="00661F05">
        <w:t xml:space="preserve"> there are until arriving at the entity that is not a limited liability entity </w:t>
      </w:r>
      <w:r w:rsidR="00674E20">
        <w:t xml:space="preserve">or partnership </w:t>
      </w:r>
      <w:r w:rsidR="00661F05" w:rsidRPr="00661F05">
        <w:t>and identifying its citizenship status</w:t>
      </w:r>
      <w:r w:rsidR="00661F05" w:rsidRPr="00674E20">
        <w:rPr>
          <w:i/>
          <w:iCs/>
        </w:rPr>
        <w:t xml:space="preserve">. See Mullins v. </w:t>
      </w:r>
      <w:proofErr w:type="spellStart"/>
      <w:r w:rsidR="00661F05" w:rsidRPr="00674E20">
        <w:rPr>
          <w:i/>
          <w:iCs/>
        </w:rPr>
        <w:t>TestAmerica</w:t>
      </w:r>
      <w:proofErr w:type="spellEnd"/>
      <w:r w:rsidR="00661F05" w:rsidRPr="00674E20">
        <w:rPr>
          <w:i/>
          <w:iCs/>
        </w:rPr>
        <w:t>, Inc</w:t>
      </w:r>
      <w:r w:rsidR="00661F05" w:rsidRPr="00661F05">
        <w:t>., 564 F.3d 386, 397-98 (5th Cir. 2009).</w:t>
      </w:r>
      <w:r w:rsidR="002C2988">
        <w:rPr>
          <w:rStyle w:val="FootnoteReference"/>
        </w:rPr>
        <w:footnoteReference w:id="1"/>
      </w:r>
      <w:r w:rsidR="00661F05" w:rsidRPr="00661F05">
        <w:t xml:space="preserve"> </w:t>
      </w:r>
    </w:p>
    <w:p w:rsidR="00674E20" w:rsidRDefault="002C2988" w:rsidP="00674E20">
      <w:pPr>
        <w:ind w:left="720" w:right="720"/>
        <w:jc w:val="both"/>
      </w:pPr>
      <w:r>
        <w:lastRenderedPageBreak/>
        <w:t xml:space="preserve"> </w:t>
      </w:r>
      <w:r w:rsidR="00674E20">
        <w:t xml:space="preserve">(c) </w:t>
      </w:r>
      <w:r w:rsidR="00E05D91">
        <w:rPr>
          <w:b/>
          <w:bCs/>
        </w:rPr>
        <w:t xml:space="preserve">Corporations: </w:t>
      </w:r>
      <w:r w:rsidR="00674E20" w:rsidRPr="00674E20">
        <w:t xml:space="preserve">A corporation is a citizen of its state(s) of incorporation </w:t>
      </w:r>
      <w:r w:rsidR="00674E20" w:rsidRPr="00674E20">
        <w:rPr>
          <w:i/>
          <w:iCs/>
        </w:rPr>
        <w:t>and</w:t>
      </w:r>
      <w:r w:rsidR="00674E20" w:rsidRPr="00674E20">
        <w:t xml:space="preserve"> of the state in which its principal place of business is located, as determined by the “nerve center” test.  28 U.S.C. § 1332(c)(1); </w:t>
      </w:r>
      <w:r w:rsidR="00674E20" w:rsidRPr="00674E20">
        <w:rPr>
          <w:i/>
          <w:iCs/>
        </w:rPr>
        <w:t>Lincoln Property Co. v. Roche</w:t>
      </w:r>
      <w:r w:rsidR="00674E20" w:rsidRPr="00674E20">
        <w:t xml:space="preserve">, 546 U.S. 81 (2005); </w:t>
      </w:r>
      <w:r w:rsidR="00674E20" w:rsidRPr="00674E20">
        <w:rPr>
          <w:i/>
          <w:iCs/>
        </w:rPr>
        <w:t>Hertz Corp. v. Friend</w:t>
      </w:r>
      <w:r w:rsidR="00674E20" w:rsidRPr="00674E20">
        <w:t xml:space="preserve">, 559 U.S. 77 (2010).  </w:t>
      </w:r>
      <w:r w:rsidR="00674E20">
        <w:t xml:space="preserve">The </w:t>
      </w:r>
      <w:r>
        <w:t>removing party</w:t>
      </w:r>
      <w:r w:rsidR="00674E20">
        <w:t xml:space="preserve"> must allege </w:t>
      </w:r>
      <w:r w:rsidR="00674E20" w:rsidRPr="002E20FD">
        <w:rPr>
          <w:i/>
          <w:iCs/>
        </w:rPr>
        <w:t>both</w:t>
      </w:r>
      <w:r w:rsidR="00674E20">
        <w:t xml:space="preserve"> </w:t>
      </w:r>
      <w:r w:rsidR="00674E20" w:rsidRPr="00674E20">
        <w:t>a corporation’s state of incorporation and</w:t>
      </w:r>
      <w:r w:rsidR="00674E20">
        <w:t xml:space="preserve"> its</w:t>
      </w:r>
      <w:r w:rsidR="00674E20" w:rsidRPr="00674E20">
        <w:t xml:space="preserve"> principal place of business. </w:t>
      </w:r>
      <w:proofErr w:type="spellStart"/>
      <w:r w:rsidR="00674E20" w:rsidRPr="00674E20">
        <w:rPr>
          <w:i/>
          <w:iCs/>
        </w:rPr>
        <w:t>MidCap</w:t>
      </w:r>
      <w:proofErr w:type="spellEnd"/>
      <w:r w:rsidR="00674E20" w:rsidRPr="00674E20">
        <w:rPr>
          <w:i/>
          <w:iCs/>
        </w:rPr>
        <w:t xml:space="preserve"> Media Fin., L.L.C. v. Pathway Data, Inc</w:t>
      </w:r>
      <w:r w:rsidR="00674E20" w:rsidRPr="00674E20">
        <w:t>., 929 F.3d 310, 314 (5th Cir. 2019)</w:t>
      </w:r>
      <w:r w:rsidR="00674E20">
        <w:t>.</w:t>
      </w:r>
    </w:p>
    <w:p w:rsidR="002C2988" w:rsidRDefault="002C2988" w:rsidP="007D15BD">
      <w:pPr>
        <w:ind w:right="720"/>
        <w:jc w:val="both"/>
      </w:pPr>
      <w:r>
        <w:t xml:space="preserve">(3) </w:t>
      </w:r>
      <w:r w:rsidR="00E05D91" w:rsidRPr="007D15BD">
        <w:rPr>
          <w:b/>
          <w:bCs/>
          <w:u w:val="single"/>
        </w:rPr>
        <w:t xml:space="preserve">SUBMIT </w:t>
      </w:r>
      <w:r w:rsidR="00671FEF">
        <w:rPr>
          <w:b/>
          <w:bCs/>
          <w:u w:val="single"/>
        </w:rPr>
        <w:t xml:space="preserve">AN ADVISORY TO THE COURT WITH </w:t>
      </w:r>
      <w:r w:rsidR="00E05D91" w:rsidRPr="007D15BD">
        <w:rPr>
          <w:b/>
          <w:bCs/>
          <w:u w:val="single"/>
        </w:rPr>
        <w:t>ANSWERS TO THE FOLLOWING QUESTIONS WITHIN 7 DAYS</w:t>
      </w:r>
      <w:r w:rsidRPr="00E05D91">
        <w:rPr>
          <w:b/>
          <w:bCs/>
        </w:rPr>
        <w:t>:</w:t>
      </w:r>
    </w:p>
    <w:p w:rsidR="002C2988" w:rsidRDefault="002C2988" w:rsidP="007D15BD">
      <w:pPr>
        <w:ind w:left="720" w:right="720"/>
        <w:jc w:val="both"/>
      </w:pPr>
      <w:r>
        <w:t>(a) The date on which the removing party was served with a summons and petition.</w:t>
      </w:r>
      <w:r w:rsidR="00957677">
        <w:t xml:space="preserve"> If the Notice of Removal is filed more than thirty days after this date, explain why.</w:t>
      </w:r>
      <w:r w:rsidR="00E0794A">
        <w:t xml:space="preserve"> If removal is based on “other paper,” identify the paper </w:t>
      </w:r>
      <w:r w:rsidR="002E20FD">
        <w:t>(provide it if not already provided) and state</w:t>
      </w:r>
      <w:r w:rsidR="00E0794A">
        <w:t xml:space="preserve"> </w:t>
      </w:r>
      <w:r w:rsidR="00A52FA6">
        <w:t>the date on which it was received.</w:t>
      </w:r>
    </w:p>
    <w:p w:rsidR="002C2988" w:rsidRDefault="00957677" w:rsidP="007D15BD">
      <w:pPr>
        <w:ind w:left="720" w:right="720"/>
        <w:jc w:val="both"/>
      </w:pPr>
      <w:r>
        <w:t xml:space="preserve">(b) </w:t>
      </w:r>
      <w:r w:rsidR="00E0794A">
        <w:t>I</w:t>
      </w:r>
      <w:r w:rsidR="00BC27BE">
        <w:t>dentify w</w:t>
      </w:r>
      <w:r>
        <w:t>hether any defendants who ha</w:t>
      </w:r>
      <w:r w:rsidR="00E0794A">
        <w:t>d</w:t>
      </w:r>
      <w:r>
        <w:t xml:space="preserve"> been served </w:t>
      </w:r>
      <w:r w:rsidR="00E0794A">
        <w:t xml:space="preserve">prior to the time of removal </w:t>
      </w:r>
      <w:r>
        <w:t>are citizens of Texas.</w:t>
      </w:r>
    </w:p>
    <w:p w:rsidR="00957677" w:rsidRDefault="00957677" w:rsidP="007D15BD">
      <w:pPr>
        <w:spacing w:line="240" w:lineRule="auto"/>
        <w:ind w:left="720" w:right="720"/>
        <w:jc w:val="both"/>
      </w:pPr>
      <w:r>
        <w:t>(c) Identify any defendant who had been served prior to the time of removal</w:t>
      </w:r>
      <w:r w:rsidR="00BC27BE">
        <w:t xml:space="preserve"> </w:t>
      </w:r>
      <w:r>
        <w:t>who did not formally join in the notice of removal and the reasons therefor</w:t>
      </w:r>
      <w:r w:rsidR="00E0794A">
        <w:t xml:space="preserve"> (provide copies of written consents, if any, if not already on file)</w:t>
      </w:r>
      <w:r>
        <w:t>.</w:t>
      </w:r>
    </w:p>
    <w:p w:rsidR="00803112" w:rsidRDefault="00781DA1" w:rsidP="007D15BD">
      <w:pPr>
        <w:spacing w:line="240" w:lineRule="auto"/>
        <w:ind w:left="720" w:right="720"/>
        <w:jc w:val="both"/>
      </w:pPr>
      <w:r>
        <w:t xml:space="preserve">(d) Was this case removed from one of the following counties: </w:t>
      </w:r>
      <w:r w:rsidRPr="00781DA1">
        <w:t xml:space="preserve">Atascosa, Bandera, Bexar, Comal, Dimmit, Frio, Gonzales, Guadalupe, Karnes, Kendall, Kerr, Medina, Real, </w:t>
      </w:r>
      <w:r w:rsidR="00E05D91">
        <w:t>or</w:t>
      </w:r>
      <w:r w:rsidRPr="00781DA1">
        <w:t xml:space="preserve"> Wilson.</w:t>
      </w:r>
      <w:r>
        <w:t xml:space="preserve"> If no, state what county it was removed from.</w:t>
      </w:r>
    </w:p>
    <w:p w:rsidR="00A52FA6" w:rsidRPr="00E05D91" w:rsidRDefault="001F3141" w:rsidP="007D15BD">
      <w:pPr>
        <w:spacing w:line="240" w:lineRule="auto"/>
        <w:ind w:right="720"/>
        <w:jc w:val="both"/>
        <w:rPr>
          <w:sz w:val="28"/>
          <w:szCs w:val="28"/>
        </w:rPr>
      </w:pPr>
      <w:r w:rsidRPr="00E05D91">
        <w:rPr>
          <w:b/>
          <w:bCs/>
          <w:sz w:val="28"/>
          <w:szCs w:val="28"/>
          <w:u w:val="single"/>
        </w:rPr>
        <w:t>NOTICE TO PLAINTIFF</w:t>
      </w:r>
      <w:r w:rsidR="00E0794A" w:rsidRPr="00E05D91">
        <w:rPr>
          <w:b/>
          <w:bCs/>
          <w:sz w:val="28"/>
          <w:szCs w:val="28"/>
          <w:u w:val="single"/>
        </w:rPr>
        <w:t>(s)</w:t>
      </w:r>
      <w:r w:rsidR="00A52FA6" w:rsidRPr="00E05D91">
        <w:rPr>
          <w:sz w:val="28"/>
          <w:szCs w:val="28"/>
        </w:rPr>
        <w:t>:</w:t>
      </w:r>
    </w:p>
    <w:p w:rsidR="00BC27BE" w:rsidRDefault="00A52FA6" w:rsidP="007D15BD">
      <w:pPr>
        <w:spacing w:line="240" w:lineRule="auto"/>
        <w:ind w:right="720"/>
        <w:jc w:val="both"/>
      </w:pPr>
      <w:r w:rsidRPr="00A52FA6">
        <w:t xml:space="preserve">(1) </w:t>
      </w:r>
      <w:r w:rsidR="00816DD7" w:rsidRPr="00E05D91">
        <w:rPr>
          <w:b/>
          <w:bCs/>
        </w:rPr>
        <w:t>MOTIONS TO REMAND</w:t>
      </w:r>
      <w:r w:rsidRPr="00A52FA6">
        <w:t>:</w:t>
      </w:r>
      <w:r>
        <w:t xml:space="preserve"> </w:t>
      </w:r>
      <w:r w:rsidR="00BC27BE">
        <w:t xml:space="preserve">Plaintiff(s) must file a motion to remand based on any procedural defects in removal within thirty days of the filing of the Notice of Removal. 28 U.S.C. </w:t>
      </w:r>
      <w:r w:rsidR="00BC27BE" w:rsidRPr="00DF0622">
        <w:t>§</w:t>
      </w:r>
      <w:r w:rsidR="00BC27BE">
        <w:t xml:space="preserve"> 1447(c). The Court will not </w:t>
      </w:r>
      <w:proofErr w:type="spellStart"/>
      <w:r w:rsidR="00BC27BE" w:rsidRPr="00BC27BE">
        <w:rPr>
          <w:i/>
          <w:iCs/>
        </w:rPr>
        <w:t>sua</w:t>
      </w:r>
      <w:proofErr w:type="spellEnd"/>
      <w:r w:rsidR="00BC27BE" w:rsidRPr="00BC27BE">
        <w:rPr>
          <w:i/>
          <w:iCs/>
        </w:rPr>
        <w:t xml:space="preserve"> sponte</w:t>
      </w:r>
      <w:r w:rsidR="00BC27BE">
        <w:t xml:space="preserve"> remand on the basis of a procedural defect.</w:t>
      </w:r>
    </w:p>
    <w:p w:rsidR="00A52FA6" w:rsidRDefault="00A52FA6" w:rsidP="007D15BD">
      <w:pPr>
        <w:spacing w:line="240" w:lineRule="auto"/>
        <w:ind w:right="720"/>
        <w:jc w:val="both"/>
      </w:pPr>
      <w:r>
        <w:t xml:space="preserve">(2) </w:t>
      </w:r>
      <w:r w:rsidR="00816DD7" w:rsidRPr="00E05D91">
        <w:rPr>
          <w:b/>
          <w:bCs/>
        </w:rPr>
        <w:t>SERVICE OF PROCESS</w:t>
      </w:r>
      <w:r>
        <w:t xml:space="preserve">: </w:t>
      </w:r>
      <w:r w:rsidR="00803112">
        <w:t xml:space="preserve">Rule 4 applies to a civil action after it is removed from state court. </w:t>
      </w:r>
      <w:r>
        <w:t>If any Defendant has not yet been served</w:t>
      </w:r>
      <w:r w:rsidR="00774E89">
        <w:t xml:space="preserve"> (including the removing Defendant)</w:t>
      </w:r>
      <w:r>
        <w:t xml:space="preserve">, </w:t>
      </w:r>
      <w:r w:rsidR="00803112">
        <w:t xml:space="preserve">Plaintiff must serve them </w:t>
      </w:r>
      <w:r w:rsidR="002E20FD">
        <w:t>pursuant to Rule 4</w:t>
      </w:r>
      <w:r w:rsidR="00803112">
        <w:t>. Failure to timely serve a defendant may result in dismissal pursuant to Rule 4(m).</w:t>
      </w:r>
    </w:p>
    <w:p w:rsidR="00653FDF" w:rsidRDefault="00653FDF" w:rsidP="007D15BD">
      <w:pPr>
        <w:ind w:right="720"/>
        <w:jc w:val="both"/>
      </w:pPr>
      <w:r w:rsidRPr="00E05D91">
        <w:rPr>
          <w:b/>
          <w:bCs/>
          <w:sz w:val="28"/>
          <w:szCs w:val="28"/>
          <w:u w:val="single"/>
        </w:rPr>
        <w:t>NOTICE TO ALL PARTIES</w:t>
      </w:r>
      <w:r w:rsidRPr="00E05D91">
        <w:rPr>
          <w:sz w:val="28"/>
          <w:szCs w:val="28"/>
        </w:rPr>
        <w:t>:</w:t>
      </w:r>
      <w:r>
        <w:t xml:space="preserve">  Any motion </w:t>
      </w:r>
      <w:r w:rsidR="00671FEF">
        <w:t>filed</w:t>
      </w:r>
      <w:r>
        <w:t xml:space="preserve"> in the state court before removal </w:t>
      </w:r>
      <w:r w:rsidR="00671FEF">
        <w:t>that still requires resolution in this Court must</w:t>
      </w:r>
      <w:r>
        <w:t xml:space="preserve"> be re</w:t>
      </w:r>
      <w:r w:rsidR="00BC27BE">
        <w:t>-</w:t>
      </w:r>
      <w:r>
        <w:t>filed as a new motion in this Court.</w:t>
      </w:r>
    </w:p>
    <w:sectPr w:rsidR="00653FD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988" w:rsidRDefault="002C2988" w:rsidP="002C2988">
      <w:pPr>
        <w:spacing w:after="0" w:line="240" w:lineRule="auto"/>
      </w:pPr>
      <w:r>
        <w:separator/>
      </w:r>
    </w:p>
  </w:endnote>
  <w:endnote w:type="continuationSeparator" w:id="0">
    <w:p w:rsidR="002C2988" w:rsidRDefault="002C2988" w:rsidP="002C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988" w:rsidRDefault="002C2988" w:rsidP="002C2988">
      <w:pPr>
        <w:spacing w:after="0" w:line="240" w:lineRule="auto"/>
      </w:pPr>
      <w:r>
        <w:separator/>
      </w:r>
    </w:p>
  </w:footnote>
  <w:footnote w:type="continuationSeparator" w:id="0">
    <w:p w:rsidR="002C2988" w:rsidRDefault="002C2988" w:rsidP="002C2988">
      <w:pPr>
        <w:spacing w:after="0" w:line="240" w:lineRule="auto"/>
      </w:pPr>
      <w:r>
        <w:continuationSeparator/>
      </w:r>
    </w:p>
  </w:footnote>
  <w:footnote w:id="1">
    <w:p w:rsidR="002C2988" w:rsidRDefault="002C2988" w:rsidP="002C2988">
      <w:pPr>
        <w:ind w:left="720" w:right="720"/>
        <w:jc w:val="both"/>
      </w:pPr>
      <w:r>
        <w:rPr>
          <w:rStyle w:val="FootnoteReference"/>
        </w:rPr>
        <w:footnoteRef/>
      </w:r>
      <w:r>
        <w:t xml:space="preserve"> </w:t>
      </w:r>
      <w:r w:rsidRPr="002C2988">
        <w:rPr>
          <w:sz w:val="20"/>
          <w:szCs w:val="20"/>
        </w:rPr>
        <w:t xml:space="preserve">If the members of an LLC or partners of a partnership are unknown to </w:t>
      </w:r>
      <w:r w:rsidR="002E20FD">
        <w:rPr>
          <w:sz w:val="20"/>
          <w:szCs w:val="20"/>
        </w:rPr>
        <w:t>the removing party</w:t>
      </w:r>
      <w:r w:rsidRPr="002C2988">
        <w:rPr>
          <w:sz w:val="20"/>
          <w:szCs w:val="20"/>
        </w:rPr>
        <w:t xml:space="preserve"> even after a diligent investigation, </w:t>
      </w:r>
      <w:r w:rsidR="002E20FD">
        <w:rPr>
          <w:sz w:val="20"/>
          <w:szCs w:val="20"/>
        </w:rPr>
        <w:t>the removing party</w:t>
      </w:r>
      <w:r w:rsidRPr="002C2988">
        <w:rPr>
          <w:sz w:val="20"/>
          <w:szCs w:val="20"/>
        </w:rPr>
        <w:t xml:space="preserve"> may allege </w:t>
      </w:r>
      <w:r w:rsidR="002E20FD">
        <w:rPr>
          <w:sz w:val="20"/>
          <w:szCs w:val="20"/>
        </w:rPr>
        <w:t>its</w:t>
      </w:r>
      <w:r w:rsidRPr="002C2988">
        <w:rPr>
          <w:sz w:val="20"/>
          <w:szCs w:val="20"/>
        </w:rPr>
        <w:t xml:space="preserve"> citizenship on information and belief.  </w:t>
      </w:r>
      <w:r w:rsidRPr="002C2988">
        <w:rPr>
          <w:i/>
          <w:iCs/>
          <w:sz w:val="20"/>
          <w:szCs w:val="20"/>
        </w:rPr>
        <w:t>Lincoln Ben. Life Co. v. AEI Life, LLC</w:t>
      </w:r>
      <w:r w:rsidRPr="002C2988">
        <w:rPr>
          <w:sz w:val="20"/>
          <w:szCs w:val="20"/>
        </w:rPr>
        <w:t xml:space="preserve">, 800 F.3d 99 (3d Cir. 2015). Before doing so, </w:t>
      </w:r>
      <w:r w:rsidR="002E20FD">
        <w:rPr>
          <w:sz w:val="20"/>
          <w:szCs w:val="20"/>
        </w:rPr>
        <w:t>the removing party</w:t>
      </w:r>
      <w:r w:rsidRPr="002C2988">
        <w:rPr>
          <w:sz w:val="20"/>
          <w:szCs w:val="20"/>
        </w:rPr>
        <w:t xml:space="preserve"> should consult the sources at its disposal, including court filings and other public records</w:t>
      </w:r>
      <w:r w:rsidR="002E20FD">
        <w:rPr>
          <w:sz w:val="20"/>
          <w:szCs w:val="20"/>
        </w:rPr>
        <w:t xml:space="preserve"> to ensure good faith pleading</w:t>
      </w:r>
      <w:r w:rsidRPr="002C2988">
        <w:rPr>
          <w:sz w:val="20"/>
          <w:szCs w:val="20"/>
        </w:rPr>
        <w:t xml:space="preserve">. </w:t>
      </w:r>
      <w:r w:rsidRPr="002C2988">
        <w:rPr>
          <w:i/>
          <w:iCs/>
          <w:sz w:val="20"/>
          <w:szCs w:val="20"/>
        </w:rPr>
        <w:t>Id</w:t>
      </w:r>
      <w:r w:rsidRPr="002C2988">
        <w:rPr>
          <w:sz w:val="20"/>
          <w:szCs w:val="20"/>
        </w:rPr>
        <w:t>. at 108.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05"/>
    <w:rsid w:val="00161064"/>
    <w:rsid w:val="00196F52"/>
    <w:rsid w:val="001F3141"/>
    <w:rsid w:val="002C2988"/>
    <w:rsid w:val="002E20FD"/>
    <w:rsid w:val="003051E0"/>
    <w:rsid w:val="00565FC2"/>
    <w:rsid w:val="00653FDF"/>
    <w:rsid w:val="00661F05"/>
    <w:rsid w:val="00671FEF"/>
    <w:rsid w:val="00674E20"/>
    <w:rsid w:val="007661FA"/>
    <w:rsid w:val="00774E89"/>
    <w:rsid w:val="00781DA1"/>
    <w:rsid w:val="007D15BD"/>
    <w:rsid w:val="00803112"/>
    <w:rsid w:val="00816DD7"/>
    <w:rsid w:val="0090161A"/>
    <w:rsid w:val="00957677"/>
    <w:rsid w:val="009D692B"/>
    <w:rsid w:val="00A52FA6"/>
    <w:rsid w:val="00BC27BE"/>
    <w:rsid w:val="00C54B65"/>
    <w:rsid w:val="00D815CC"/>
    <w:rsid w:val="00E05D91"/>
    <w:rsid w:val="00E0794A"/>
    <w:rsid w:val="00E84050"/>
    <w:rsid w:val="00ED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8F126-B891-417B-81FA-C4788652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C29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3E509-21AA-47DD-8F92-4350699D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4594</Characters>
  <Application>Microsoft Office Word</Application>
  <DocSecurity>2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Laux</dc:creator>
  <cp:keywords/>
  <dc:description/>
  <cp:lastModifiedBy>Lauren Laux</cp:lastModifiedBy>
  <cp:revision>3</cp:revision>
  <dcterms:created xsi:type="dcterms:W3CDTF">2020-07-08T17:23:00Z</dcterms:created>
  <dcterms:modified xsi:type="dcterms:W3CDTF">2020-07-08T17:27:00Z</dcterms:modified>
</cp:coreProperties>
</file>